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Times New Roman"/>
          <w:color w:val="auto"/>
          <w:szCs w:val="20"/>
          <w:highlight w:val="none"/>
        </w:rPr>
      </w:pPr>
    </w:p>
    <w:p>
      <w:pPr>
        <w:spacing w:line="400" w:lineRule="exact"/>
        <w:ind w:firstLine="0" w:firstLineChars="0"/>
        <w:jc w:val="left"/>
        <w:rPr>
          <w:rFonts w:hint="eastAsia" w:ascii="仿宋" w:hAnsi="宋体" w:eastAsia="仿宋"/>
          <w:color w:val="auto"/>
          <w:sz w:val="28"/>
          <w:szCs w:val="28"/>
          <w:highlight w:val="none"/>
        </w:rPr>
      </w:pPr>
      <w:r>
        <w:rPr>
          <w:rFonts w:hint="eastAsia" w:ascii="仿宋" w:hAnsi="宋体" w:eastAsia="仿宋"/>
          <w:color w:val="auto"/>
          <w:sz w:val="28"/>
          <w:szCs w:val="28"/>
          <w:highlight w:val="none"/>
        </w:rPr>
        <w:t>I</w:t>
      </w:r>
      <w:r>
        <w:rPr>
          <w:rFonts w:ascii="仿宋" w:hAnsi="宋体" w:eastAsia="仿宋"/>
          <w:color w:val="auto"/>
          <w:sz w:val="28"/>
          <w:szCs w:val="28"/>
          <w:highlight w:val="none"/>
        </w:rPr>
        <w:t>CS</w:t>
      </w:r>
      <w:r>
        <w:rPr>
          <w:rFonts w:hint="eastAsia" w:ascii="仿宋" w:hAnsi="宋体" w:eastAsia="仿宋"/>
          <w:color w:val="auto"/>
          <w:sz w:val="28"/>
          <w:szCs w:val="28"/>
          <w:highlight w:val="none"/>
        </w:rPr>
        <w:t>号</w:t>
      </w:r>
    </w:p>
    <w:p>
      <w:pPr>
        <w:spacing w:line="400" w:lineRule="exact"/>
        <w:ind w:firstLine="0" w:firstLineChars="0"/>
        <w:jc w:val="left"/>
        <w:rPr>
          <w:rFonts w:hint="eastAsia" w:ascii="仿宋" w:hAnsi="宋体" w:eastAsia="仿宋"/>
          <w:color w:val="auto"/>
          <w:sz w:val="28"/>
          <w:szCs w:val="28"/>
          <w:highlight w:val="none"/>
        </w:rPr>
      </w:pPr>
      <w:r>
        <w:rPr>
          <w:rFonts w:hint="eastAsia" w:ascii="仿宋" w:hAnsi="宋体" w:eastAsia="仿宋"/>
          <w:color w:val="auto"/>
          <w:sz w:val="28"/>
          <w:szCs w:val="28"/>
          <w:highlight w:val="none"/>
        </w:rPr>
        <w:t>中国标准文献分类号</w:t>
      </w:r>
    </w:p>
    <w:p>
      <w:pPr>
        <w:spacing w:before="312" w:beforeLines="100" w:after="312" w:afterLines="100"/>
        <w:ind w:firstLine="0" w:firstLineChars="0"/>
        <w:jc w:val="center"/>
        <w:rPr>
          <w:rFonts w:hint="eastAsia" w:ascii="宋体" w:hAnsi="宋体"/>
          <w:color w:val="auto"/>
          <w:sz w:val="96"/>
          <w:szCs w:val="28"/>
          <w:highlight w:val="none"/>
        </w:rPr>
      </w:pPr>
      <w:r>
        <w:rPr>
          <w:rFonts w:hint="eastAsia" w:ascii="宋体" w:hAnsi="宋体"/>
          <w:color w:val="auto"/>
          <w:sz w:val="96"/>
          <w:szCs w:val="28"/>
          <w:highlight w:val="none"/>
        </w:rPr>
        <w:t xml:space="preserve">团 </w:t>
      </w:r>
      <w:r>
        <w:rPr>
          <w:rFonts w:ascii="宋体" w:hAnsi="宋体"/>
          <w:color w:val="auto"/>
          <w:sz w:val="96"/>
          <w:szCs w:val="28"/>
          <w:highlight w:val="none"/>
        </w:rPr>
        <w:t xml:space="preserve"> </w:t>
      </w:r>
      <w:r>
        <w:rPr>
          <w:rFonts w:hint="eastAsia" w:ascii="宋体" w:hAnsi="宋体"/>
          <w:color w:val="auto"/>
          <w:sz w:val="96"/>
          <w:szCs w:val="28"/>
          <w:highlight w:val="none"/>
        </w:rPr>
        <w:t xml:space="preserve">体 </w:t>
      </w:r>
      <w:r>
        <w:rPr>
          <w:rFonts w:ascii="宋体" w:hAnsi="宋体"/>
          <w:color w:val="auto"/>
          <w:sz w:val="96"/>
          <w:szCs w:val="28"/>
          <w:highlight w:val="none"/>
        </w:rPr>
        <w:t xml:space="preserve"> </w:t>
      </w:r>
      <w:r>
        <w:rPr>
          <w:rFonts w:hint="eastAsia" w:ascii="宋体" w:hAnsi="宋体"/>
          <w:color w:val="auto"/>
          <w:sz w:val="96"/>
          <w:szCs w:val="28"/>
          <w:highlight w:val="none"/>
        </w:rPr>
        <w:t xml:space="preserve">标 </w:t>
      </w:r>
      <w:r>
        <w:rPr>
          <w:rFonts w:ascii="宋体" w:hAnsi="宋体"/>
          <w:color w:val="auto"/>
          <w:sz w:val="96"/>
          <w:szCs w:val="28"/>
          <w:highlight w:val="none"/>
        </w:rPr>
        <w:t xml:space="preserve"> </w:t>
      </w:r>
      <w:r>
        <w:rPr>
          <w:rFonts w:hint="eastAsia" w:ascii="宋体" w:hAnsi="宋体"/>
          <w:color w:val="auto"/>
          <w:sz w:val="96"/>
          <w:szCs w:val="28"/>
          <w:highlight w:val="none"/>
        </w:rPr>
        <w:t>准</w:t>
      </w:r>
    </w:p>
    <w:p>
      <w:pPr>
        <w:ind w:firstLine="440"/>
        <w:jc w:val="right"/>
        <w:rPr>
          <w:rFonts w:hint="eastAsia" w:ascii="黑体" w:hAnsi="黑体" w:eastAsia="黑体"/>
          <w:color w:val="auto"/>
          <w:sz w:val="22"/>
          <w:szCs w:val="28"/>
          <w:highlight w:val="none"/>
        </w:rPr>
      </w:pPr>
      <w:r>
        <w:rPr>
          <w:rFonts w:hint="eastAsia" w:ascii="黑体" w:hAnsi="黑体" w:eastAsia="黑体"/>
          <w:color w:val="auto"/>
          <w:sz w:val="22"/>
          <w:szCs w:val="28"/>
          <w:highlight w:val="none"/>
        </w:rPr>
        <w:t>团体标准编号T</w:t>
      </w:r>
      <w:r>
        <w:rPr>
          <w:rFonts w:ascii="黑体" w:hAnsi="黑体" w:eastAsia="黑体"/>
          <w:color w:val="auto"/>
          <w:sz w:val="22"/>
          <w:szCs w:val="28"/>
          <w:highlight w:val="none"/>
        </w:rPr>
        <w:t>/</w:t>
      </w:r>
      <w:r>
        <w:rPr>
          <w:rFonts w:hint="eastAsia" w:ascii="黑体" w:hAnsi="黑体" w:eastAsia="黑体"/>
          <w:color w:val="auto"/>
          <w:sz w:val="22"/>
          <w:szCs w:val="28"/>
          <w:highlight w:val="none"/>
        </w:rPr>
        <w:t>BRA-CDCHE</w:t>
      </w:r>
      <w:r>
        <w:rPr>
          <w:rFonts w:hint="eastAsia"/>
          <w:color w:val="auto"/>
          <w:highlight w:val="none"/>
        </w:rPr>
        <w:t>/</w:t>
      </w:r>
      <w:r>
        <w:rPr>
          <w:rFonts w:ascii="黑体" w:hAnsi="黑体" w:eastAsia="黑体"/>
          <w:color w:val="auto"/>
          <w:sz w:val="22"/>
          <w:szCs w:val="28"/>
          <w:highlight w:val="none"/>
        </w:rPr>
        <w:t xml:space="preserve"> XXXX-XXXX</w:t>
      </w:r>
    </w:p>
    <w:p>
      <w:pPr>
        <w:ind w:firstLine="440"/>
        <w:jc w:val="center"/>
        <w:rPr>
          <w:rFonts w:hint="eastAsia" w:ascii="黑体" w:hAnsi="黑体" w:eastAsia="黑体"/>
          <w:color w:val="auto"/>
          <w:sz w:val="22"/>
          <w:szCs w:val="28"/>
          <w:highlight w:val="none"/>
        </w:rPr>
      </w:pPr>
      <w:r>
        <w:rPr>
          <w:rFonts w:hint="eastAsia" w:ascii="黑体" w:hAnsi="黑体" w:eastAsia="黑体"/>
          <w:color w:val="auto"/>
          <w:sz w:val="22"/>
          <w:szCs w:val="28"/>
          <w:highlight w:val="none"/>
        </w:rPr>
        <w:t xml:space="preserve">                                   代替的团体标准编号（修订填写）</w:t>
      </w:r>
    </w:p>
    <w:p>
      <w:pPr>
        <w:spacing w:line="240" w:lineRule="exact"/>
        <w:ind w:firstLine="0" w:firstLineChars="0"/>
        <w:jc w:val="left"/>
        <w:rPr>
          <w:rFonts w:hint="eastAsia" w:ascii="宋体" w:hAnsi="宋体"/>
          <w:color w:val="auto"/>
          <w:sz w:val="28"/>
          <w:szCs w:val="28"/>
          <w:highlight w:val="none"/>
          <w:u w:val="single"/>
        </w:rPr>
      </w:pP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p>
    <w:p>
      <w:pPr>
        <w:ind w:firstLine="560"/>
        <w:jc w:val="left"/>
        <w:rPr>
          <w:rFonts w:hint="eastAsia" w:ascii="宋体" w:hAnsi="宋体"/>
          <w:color w:val="auto"/>
          <w:sz w:val="28"/>
          <w:szCs w:val="28"/>
          <w:highlight w:val="none"/>
        </w:rPr>
      </w:pPr>
    </w:p>
    <w:p>
      <w:pPr>
        <w:ind w:firstLine="0" w:firstLineChars="0"/>
        <w:jc w:val="center"/>
        <w:rPr>
          <w:rFonts w:hint="default" w:ascii="黑体" w:hAnsi="黑体" w:eastAsia="黑体"/>
          <w:color w:val="auto"/>
          <w:sz w:val="52"/>
          <w:szCs w:val="28"/>
          <w:highlight w:val="none"/>
          <w:lang w:val="en-US" w:eastAsia="zh-CN"/>
        </w:rPr>
      </w:pPr>
      <w:r>
        <w:rPr>
          <w:rFonts w:hint="eastAsia" w:ascii="黑体" w:hAnsi="黑体" w:eastAsia="黑体"/>
          <w:color w:val="auto"/>
          <w:sz w:val="52"/>
          <w:szCs w:val="28"/>
          <w:highlight w:val="none"/>
          <w:lang w:val="en-US" w:eastAsia="zh-CN"/>
        </w:rPr>
        <w:t>精神专科医院神经内科建设规范</w:t>
      </w:r>
    </w:p>
    <w:p>
      <w:pPr>
        <w:jc w:val="center"/>
        <w:rPr>
          <w:rFonts w:hint="default" w:ascii="Times New Roman" w:hAnsi="Times New Roman" w:cs="Times New Roman"/>
          <w:sz w:val="28"/>
          <w:szCs w:val="28"/>
          <w:highlight w:val="none"/>
        </w:rPr>
      </w:pPr>
      <w:r>
        <w:rPr>
          <w:rFonts w:hint="default" w:ascii="Times New Roman" w:hAnsi="Times New Roman" w:eastAsia="宋体" w:cs="Times New Roman"/>
          <w:b w:val="0"/>
          <w:sz w:val="28"/>
          <w:szCs w:val="28"/>
          <w:highlight w:val="none"/>
        </w:rPr>
        <w:t>Guidelines for the Establishment of Neurology Departments in Psychiatric Hospitals</w:t>
      </w:r>
    </w:p>
    <w:p>
      <w:pPr>
        <w:ind w:firstLine="0" w:firstLineChars="0"/>
        <w:jc w:val="center"/>
        <w:rPr>
          <w:rFonts w:hint="eastAsia" w:ascii="黑体" w:hAnsi="黑体" w:eastAsia="黑体"/>
          <w:color w:val="auto"/>
          <w:sz w:val="44"/>
          <w:szCs w:val="44"/>
          <w:highlight w:val="none"/>
          <w:lang w:val="en-US" w:eastAsia="zh-CN"/>
        </w:rPr>
      </w:pPr>
      <w:r>
        <w:rPr>
          <w:rFonts w:hint="eastAsia" w:ascii="黑体" w:hAnsi="黑体" w:eastAsia="黑体"/>
          <w:color w:val="auto"/>
          <w:sz w:val="44"/>
          <w:szCs w:val="44"/>
          <w:highlight w:val="none"/>
          <w:lang w:val="en-US" w:eastAsia="zh-CN"/>
        </w:rPr>
        <w:t>（草案）</w:t>
      </w:r>
    </w:p>
    <w:p>
      <w:pPr>
        <w:ind w:firstLine="0" w:firstLineChars="0"/>
        <w:jc w:val="center"/>
        <w:rPr>
          <w:rFonts w:hint="eastAsia" w:ascii="黑体" w:hAnsi="黑体" w:eastAsia="黑体"/>
          <w:color w:val="auto"/>
          <w:sz w:val="44"/>
          <w:szCs w:val="44"/>
          <w:highlight w:val="none"/>
          <w:lang w:val="en-US" w:eastAsia="zh-CN"/>
        </w:rPr>
      </w:pPr>
    </w:p>
    <w:p>
      <w:pPr>
        <w:ind w:firstLine="560"/>
        <w:jc w:val="left"/>
        <w:rPr>
          <w:rFonts w:hint="eastAsia" w:ascii="宋体" w:hAnsi="宋体"/>
          <w:color w:val="auto"/>
          <w:sz w:val="28"/>
          <w:szCs w:val="28"/>
          <w:highlight w:val="none"/>
        </w:rPr>
      </w:pPr>
    </w:p>
    <w:p>
      <w:pPr>
        <w:ind w:firstLine="560"/>
        <w:jc w:val="left"/>
        <w:rPr>
          <w:rFonts w:hint="eastAsia" w:ascii="宋体" w:hAnsi="宋体"/>
          <w:color w:val="auto"/>
          <w:sz w:val="28"/>
          <w:szCs w:val="28"/>
          <w:highlight w:val="none"/>
        </w:rPr>
      </w:pPr>
    </w:p>
    <w:p>
      <w:pPr>
        <w:ind w:firstLine="280" w:firstLineChars="100"/>
        <w:jc w:val="left"/>
        <w:rPr>
          <w:rFonts w:hint="eastAsia" w:ascii="宋体" w:hAnsi="宋体"/>
          <w:color w:val="auto"/>
          <w:sz w:val="28"/>
          <w:szCs w:val="28"/>
          <w:highlight w:val="none"/>
        </w:rPr>
      </w:pPr>
      <w:r>
        <w:rPr>
          <w:rFonts w:hint="eastAsia" w:ascii="宋体" w:hAnsi="宋体"/>
          <w:color w:val="auto"/>
          <w:sz w:val="28"/>
          <w:szCs w:val="28"/>
          <w:highlight w:val="none"/>
        </w:rPr>
        <w:t>X</w:t>
      </w:r>
      <w:r>
        <w:rPr>
          <w:rFonts w:ascii="宋体" w:hAnsi="宋体"/>
          <w:color w:val="auto"/>
          <w:sz w:val="28"/>
          <w:szCs w:val="28"/>
          <w:highlight w:val="none"/>
        </w:rPr>
        <w:t>XXX</w:t>
      </w:r>
      <w:r>
        <w:rPr>
          <w:rFonts w:hint="eastAsia" w:ascii="宋体" w:hAnsi="宋体"/>
          <w:color w:val="auto"/>
          <w:sz w:val="28"/>
          <w:szCs w:val="28"/>
          <w:highlight w:val="none"/>
        </w:rPr>
        <w:t>年X</w:t>
      </w:r>
      <w:r>
        <w:rPr>
          <w:rFonts w:ascii="宋体" w:hAnsi="宋体"/>
          <w:color w:val="auto"/>
          <w:sz w:val="28"/>
          <w:szCs w:val="28"/>
          <w:highlight w:val="none"/>
        </w:rPr>
        <w:t>X</w:t>
      </w:r>
      <w:r>
        <w:rPr>
          <w:rFonts w:hint="eastAsia" w:ascii="宋体" w:hAnsi="宋体"/>
          <w:color w:val="auto"/>
          <w:sz w:val="28"/>
          <w:szCs w:val="28"/>
          <w:highlight w:val="none"/>
        </w:rPr>
        <w:t>月X</w:t>
      </w:r>
      <w:r>
        <w:rPr>
          <w:rFonts w:ascii="宋体" w:hAnsi="宋体"/>
          <w:color w:val="auto"/>
          <w:sz w:val="28"/>
          <w:szCs w:val="28"/>
          <w:highlight w:val="none"/>
        </w:rPr>
        <w:t>X</w:t>
      </w:r>
      <w:r>
        <w:rPr>
          <w:rFonts w:hint="eastAsia" w:ascii="宋体" w:hAnsi="宋体"/>
          <w:color w:val="auto"/>
          <w:sz w:val="28"/>
          <w:szCs w:val="28"/>
          <w:highlight w:val="none"/>
        </w:rPr>
        <w:t xml:space="preserve">日 </w:t>
      </w:r>
      <w:r>
        <w:rPr>
          <w:rFonts w:ascii="宋体" w:hAnsi="宋体"/>
          <w:color w:val="auto"/>
          <w:sz w:val="28"/>
          <w:szCs w:val="28"/>
          <w:highlight w:val="none"/>
        </w:rPr>
        <w:t xml:space="preserve">                </w:t>
      </w:r>
      <w:r>
        <w:rPr>
          <w:rFonts w:hint="eastAsia" w:ascii="宋体" w:hAnsi="宋体"/>
          <w:color w:val="auto"/>
          <w:sz w:val="28"/>
          <w:szCs w:val="28"/>
          <w:highlight w:val="none"/>
        </w:rPr>
        <w:t xml:space="preserve">  </w:t>
      </w:r>
      <w:r>
        <w:rPr>
          <w:rFonts w:ascii="宋体" w:hAnsi="宋体"/>
          <w:color w:val="auto"/>
          <w:sz w:val="28"/>
          <w:szCs w:val="28"/>
          <w:highlight w:val="none"/>
        </w:rPr>
        <w:t xml:space="preserve"> </w:t>
      </w:r>
      <w:r>
        <w:rPr>
          <w:rFonts w:hint="eastAsia" w:ascii="宋体" w:hAnsi="宋体"/>
          <w:color w:val="auto"/>
          <w:sz w:val="28"/>
          <w:szCs w:val="28"/>
          <w:highlight w:val="none"/>
        </w:rPr>
        <w:t>X</w:t>
      </w:r>
      <w:r>
        <w:rPr>
          <w:rFonts w:ascii="宋体" w:hAnsi="宋体"/>
          <w:color w:val="auto"/>
          <w:sz w:val="28"/>
          <w:szCs w:val="28"/>
          <w:highlight w:val="none"/>
        </w:rPr>
        <w:t>XXX</w:t>
      </w:r>
      <w:r>
        <w:rPr>
          <w:rFonts w:hint="eastAsia" w:ascii="宋体" w:hAnsi="宋体"/>
          <w:color w:val="auto"/>
          <w:sz w:val="28"/>
          <w:szCs w:val="28"/>
          <w:highlight w:val="none"/>
        </w:rPr>
        <w:t>年X</w:t>
      </w:r>
      <w:r>
        <w:rPr>
          <w:rFonts w:ascii="宋体" w:hAnsi="宋体"/>
          <w:color w:val="auto"/>
          <w:sz w:val="28"/>
          <w:szCs w:val="28"/>
          <w:highlight w:val="none"/>
        </w:rPr>
        <w:t>X</w:t>
      </w:r>
      <w:r>
        <w:rPr>
          <w:rFonts w:hint="eastAsia" w:ascii="宋体" w:hAnsi="宋体"/>
          <w:color w:val="auto"/>
          <w:sz w:val="28"/>
          <w:szCs w:val="28"/>
          <w:highlight w:val="none"/>
        </w:rPr>
        <w:t>月X</w:t>
      </w:r>
      <w:r>
        <w:rPr>
          <w:rFonts w:ascii="宋体" w:hAnsi="宋体"/>
          <w:color w:val="auto"/>
          <w:sz w:val="28"/>
          <w:szCs w:val="28"/>
          <w:highlight w:val="none"/>
        </w:rPr>
        <w:t>X</w:t>
      </w:r>
      <w:r>
        <w:rPr>
          <w:rFonts w:hint="eastAsia" w:ascii="宋体" w:hAnsi="宋体"/>
          <w:color w:val="auto"/>
          <w:sz w:val="28"/>
          <w:szCs w:val="28"/>
          <w:highlight w:val="none"/>
        </w:rPr>
        <w:t>日实施</w:t>
      </w:r>
    </w:p>
    <w:p>
      <w:pPr>
        <w:ind w:firstLine="280" w:firstLineChars="100"/>
        <w:jc w:val="left"/>
        <w:rPr>
          <w:rFonts w:hint="eastAsia" w:ascii="宋体" w:hAnsi="宋体"/>
          <w:color w:val="auto"/>
          <w:sz w:val="28"/>
          <w:szCs w:val="28"/>
          <w:highlight w:val="none"/>
          <w:u w:val="single"/>
        </w:rPr>
      </w:pP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p>
    <w:p>
      <w:pPr>
        <w:ind w:firstLine="800"/>
        <w:jc w:val="center"/>
        <w:rPr>
          <w:rFonts w:hint="eastAsia" w:ascii="宋体" w:hAnsi="宋体" w:eastAsia="黑体"/>
          <w:color w:val="auto"/>
          <w:sz w:val="28"/>
          <w:szCs w:val="28"/>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 w:val="36"/>
          <w:szCs w:val="24"/>
          <w:highlight w:val="none"/>
        </w:rPr>
        <w:t>北京慢性病防治与健康教育研究会</w:t>
      </w:r>
      <w:r>
        <w:rPr>
          <w:rFonts w:hint="eastAsia" w:ascii="宋体" w:hAnsi="宋体"/>
          <w:color w:val="auto"/>
          <w:sz w:val="40"/>
          <w:szCs w:val="28"/>
          <w:highlight w:val="none"/>
        </w:rPr>
        <w:t xml:space="preserve"> </w:t>
      </w:r>
      <w:r>
        <w:rPr>
          <w:rFonts w:hint="eastAsia" w:ascii="黑体" w:hAnsi="黑体" w:eastAsia="黑体"/>
          <w:color w:val="auto"/>
          <w:sz w:val="28"/>
          <w:szCs w:val="28"/>
          <w:highlight w:val="none"/>
        </w:rPr>
        <w:t>发</w:t>
      </w:r>
      <w:r>
        <w:rPr>
          <w:rFonts w:hint="eastAsia" w:ascii="黑体" w:hAnsi="黑体" w:eastAsia="黑体"/>
          <w:color w:val="auto"/>
          <w:sz w:val="28"/>
          <w:szCs w:val="28"/>
          <w:highlight w:val="none"/>
          <w:lang w:val="en-US" w:eastAsia="zh-CN"/>
        </w:rPr>
        <w:t>布</w:t>
      </w:r>
    </w:p>
    <w:p>
      <w:pPr>
        <w:rPr>
          <w:highlight w:val="none"/>
        </w:rPr>
      </w:pPr>
    </w:p>
    <w:p>
      <w:pPr>
        <w:pStyle w:val="166"/>
        <w:keepNext w:val="0"/>
        <w:keepLines w:val="0"/>
        <w:pageBreakBefore w:val="0"/>
        <w:widowControl/>
        <w:kinsoku/>
        <w:wordWrap/>
        <w:overflowPunct/>
        <w:topLinePunct w:val="0"/>
        <w:autoSpaceDE/>
        <w:autoSpaceDN/>
        <w:bidi w:val="0"/>
        <w:adjustRightInd/>
        <w:snapToGrid/>
        <w:spacing w:before="560"/>
        <w:ind w:left="425" w:hanging="425"/>
        <w:textAlignment w:val="auto"/>
        <w:rPr>
          <w:rFonts w:hint="eastAsia"/>
          <w:spacing w:val="320"/>
          <w:szCs w:val="22"/>
          <w:highlight w:val="none"/>
          <w:lang w:eastAsia="zh-CN"/>
        </w:rPr>
      </w:pPr>
      <w:r>
        <w:rPr>
          <w:rFonts w:hint="eastAsia"/>
          <w:spacing w:val="320"/>
          <w:szCs w:val="22"/>
          <w:highlight w:val="none"/>
          <w:lang w:eastAsia="zh-CN"/>
        </w:rPr>
        <w:t>前言</w:t>
      </w:r>
    </w:p>
    <w:p>
      <w:pPr>
        <w:keepNext w:val="0"/>
        <w:keepLines w:val="0"/>
        <w:pageBreakBefore w:val="0"/>
        <w:widowControl/>
        <w:kinsoku/>
        <w:wordWrap/>
        <w:overflowPunct/>
        <w:topLinePunct w:val="0"/>
        <w:autoSpaceDE/>
        <w:autoSpaceDN/>
        <w:bidi w:val="0"/>
        <w:adjustRightInd/>
        <w:snapToGrid/>
        <w:spacing w:after="0" w:line="360" w:lineRule="exact"/>
        <w:ind w:firstLine="420" w:firstLineChars="200"/>
        <w:textAlignment w:val="auto"/>
        <w:rPr>
          <w:rFonts w:ascii="宋体" w:hAnsi="宋体" w:eastAsia="宋体"/>
          <w:b w:val="0"/>
          <w:sz w:val="21"/>
          <w:szCs w:val="21"/>
          <w:highlight w:val="none"/>
        </w:rPr>
      </w:pPr>
      <w:r>
        <w:rPr>
          <w:rFonts w:ascii="宋体" w:hAnsi="宋体" w:eastAsia="宋体"/>
          <w:b w:val="0"/>
          <w:sz w:val="21"/>
          <w:szCs w:val="21"/>
          <w:highlight w:val="none"/>
        </w:rPr>
        <w:t>本文件按照GB/T 1.1-2020《标准化工作导则 第1部分：标准化文件的结构和起草规则》的规定起草。</w:t>
      </w:r>
      <w:r>
        <w:rPr>
          <w:rFonts w:ascii="宋体" w:hAnsi="宋体" w:eastAsia="宋体"/>
          <w:b w:val="0"/>
          <w:sz w:val="21"/>
          <w:szCs w:val="21"/>
          <w:highlight w:val="none"/>
        </w:rPr>
        <w:br w:type="textWrapping"/>
      </w:r>
      <w:r>
        <w:rPr>
          <w:rFonts w:hint="default" w:ascii="宋体" w:hAnsi="宋体" w:eastAsia="宋体"/>
          <w:b w:val="0"/>
          <w:sz w:val="21"/>
          <w:szCs w:val="21"/>
          <w:highlight w:val="none"/>
          <w:lang w:val="en-US" w:eastAsia="zh-CN"/>
        </w:rPr>
        <w:t xml:space="preserve">  </w:t>
      </w:r>
      <w:r>
        <w:rPr>
          <w:rFonts w:ascii="宋体" w:hAnsi="宋体" w:eastAsia="宋体"/>
          <w:b w:val="0"/>
          <w:sz w:val="21"/>
          <w:szCs w:val="21"/>
          <w:highlight w:val="none"/>
        </w:rPr>
        <w:t>请注意本文件的某些内容可能涉及专利。本文件的发布机构不承担识别专利的责任。</w:t>
      </w:r>
    </w:p>
    <w:p>
      <w:pPr>
        <w:keepNext w:val="0"/>
        <w:keepLines w:val="0"/>
        <w:pageBreakBefore w:val="0"/>
        <w:widowControl/>
        <w:kinsoku/>
        <w:wordWrap/>
        <w:overflowPunct/>
        <w:topLinePunct w:val="0"/>
        <w:autoSpaceDE/>
        <w:autoSpaceDN/>
        <w:bidi w:val="0"/>
        <w:adjustRightInd/>
        <w:snapToGrid/>
        <w:spacing w:after="0" w:line="360" w:lineRule="exact"/>
        <w:ind w:firstLine="420" w:firstLineChars="200"/>
        <w:textAlignment w:val="auto"/>
        <w:rPr>
          <w:rFonts w:ascii="宋体" w:hAnsi="宋体" w:eastAsia="宋体"/>
          <w:b w:val="0"/>
          <w:sz w:val="21"/>
          <w:szCs w:val="21"/>
          <w:highlight w:val="none"/>
        </w:rPr>
      </w:pPr>
      <w:r>
        <w:rPr>
          <w:rFonts w:ascii="宋体" w:hAnsi="宋体" w:eastAsia="宋体"/>
          <w:b w:val="0"/>
          <w:sz w:val="21"/>
          <w:szCs w:val="21"/>
          <w:highlight w:val="none"/>
        </w:rPr>
        <w:t>本文件由北京大学第六医院提出。</w:t>
      </w:r>
    </w:p>
    <w:p>
      <w:pPr>
        <w:keepNext w:val="0"/>
        <w:keepLines w:val="0"/>
        <w:pageBreakBefore w:val="0"/>
        <w:widowControl/>
        <w:kinsoku/>
        <w:wordWrap/>
        <w:overflowPunct/>
        <w:topLinePunct w:val="0"/>
        <w:autoSpaceDE/>
        <w:autoSpaceDN/>
        <w:bidi w:val="0"/>
        <w:adjustRightInd/>
        <w:snapToGrid/>
        <w:spacing w:after="0" w:line="360" w:lineRule="exact"/>
        <w:ind w:firstLine="420" w:firstLineChars="200"/>
        <w:textAlignment w:val="auto"/>
        <w:rPr>
          <w:rFonts w:ascii="宋体" w:hAnsi="宋体" w:eastAsia="宋体"/>
          <w:b w:val="0"/>
          <w:sz w:val="21"/>
          <w:szCs w:val="21"/>
          <w:highlight w:val="none"/>
        </w:rPr>
      </w:pPr>
      <w:r>
        <w:rPr>
          <w:rFonts w:ascii="宋体" w:hAnsi="宋体" w:eastAsia="宋体"/>
          <w:b w:val="0"/>
          <w:sz w:val="21"/>
          <w:szCs w:val="21"/>
          <w:highlight w:val="none"/>
        </w:rPr>
        <w:t>本文件由</w:t>
      </w:r>
      <w:r>
        <w:rPr>
          <w:rFonts w:hint="default" w:ascii="宋体" w:hAnsi="宋体" w:eastAsia="宋体"/>
          <w:b w:val="0"/>
          <w:sz w:val="21"/>
          <w:szCs w:val="21"/>
          <w:highlight w:val="none"/>
          <w:lang w:val="en-US" w:eastAsia="zh-CN"/>
        </w:rPr>
        <w:t>北京慢性病防治与健康教育研究会</w:t>
      </w:r>
      <w:r>
        <w:rPr>
          <w:rFonts w:ascii="宋体" w:hAnsi="宋体" w:eastAsia="宋体"/>
          <w:b w:val="0"/>
          <w:sz w:val="21"/>
          <w:szCs w:val="21"/>
          <w:highlight w:val="none"/>
        </w:rPr>
        <w:t>归口。</w:t>
      </w:r>
    </w:p>
    <w:p>
      <w:pPr>
        <w:spacing w:after="0" w:line="360" w:lineRule="exact"/>
        <w:ind w:firstLine="420" w:firstLineChars="200"/>
        <w:rPr>
          <w:rFonts w:ascii="宋体" w:hAnsi="宋体" w:eastAsia="宋体"/>
          <w:sz w:val="21"/>
          <w:szCs w:val="21"/>
          <w:highlight w:val="none"/>
        </w:rPr>
      </w:pPr>
      <w:r>
        <w:rPr>
          <w:rFonts w:ascii="宋体" w:hAnsi="宋体" w:eastAsia="宋体"/>
          <w:sz w:val="21"/>
          <w:szCs w:val="21"/>
          <w:highlight w:val="none"/>
        </w:rPr>
        <w:t>本文件起草单位：北京大学第六医院、首都医科大学附属北京安定医院、北京回龙观医院、郑州大学第一附属医院、安徽医科大学第一附属医院、南京医科大学附属脑科医院、广州医科大学附属脑科医院、复旦大学附属中山医院、中山大学孙逸仙纪念医院、中山大学附属第三医院、大连医科大学附属第一医院、广西壮族自治区脑科医院、温州市第七人民医院、河南医药大学第二附属医院、长江航运总医院 武汉脑科医院、珠海市第三人民医院、广州中医药大学第一附属医院、北京大学首钢医院精神科、武汉大学人民医院、中南大学湘雅二医院、广州医科大学附属第四医院、绵阳市第三人民医院、重庆市精神卫生中心、临沂市精神卫生中心、台州市第二人民医院、杭州市第七人民医院、宁波康宁医院、厦门仙岳医院、汕头大学精神卫生中心、佛山市第三人民医院（佛山市精神卫生中心）、山东省精神卫生中心。</w:t>
      </w:r>
    </w:p>
    <w:p>
      <w:pPr>
        <w:spacing w:after="0" w:line="360" w:lineRule="exact"/>
        <w:ind w:firstLine="420" w:firstLineChars="200"/>
        <w:rPr>
          <w:rFonts w:ascii="宋体" w:hAnsi="宋体" w:eastAsia="宋体"/>
          <w:sz w:val="21"/>
          <w:szCs w:val="21"/>
          <w:highlight w:val="none"/>
        </w:rPr>
      </w:pPr>
      <w:r>
        <w:rPr>
          <w:rFonts w:ascii="宋体" w:hAnsi="宋体" w:eastAsia="宋体"/>
          <w:sz w:val="21"/>
          <w:szCs w:val="21"/>
          <w:highlight w:val="none"/>
        </w:rPr>
        <w:t>本文件主要起草人：袁俊亮、白超博、陈宝玉、陈靖、汪琦、赵丹华、王玥、杨可冰、宋学勤、胡盼盼、阎俊、詹丽璇、黄啸、刘中霖、魏钦令、张炳蔚、刁丽梅、于明荣、杜爱玲、王金芳、吴金辉、侯乐、任峰、万其容、邵平、靳长风、张弟文、刘丽、葛秀民、张丽霞、章晓英、史玲利、王琛、吴骏、邢广羽、张清华。</w:t>
      </w:r>
    </w:p>
    <w:p>
      <w:pPr>
        <w:keepNext w:val="0"/>
        <w:keepLines w:val="0"/>
        <w:pageBreakBefore w:val="0"/>
        <w:widowControl/>
        <w:kinsoku/>
        <w:wordWrap/>
        <w:overflowPunct/>
        <w:topLinePunct w:val="0"/>
        <w:autoSpaceDE/>
        <w:autoSpaceDN/>
        <w:bidi w:val="0"/>
        <w:adjustRightInd/>
        <w:snapToGrid/>
        <w:spacing w:after="0" w:line="360" w:lineRule="exact"/>
        <w:ind w:firstLine="420" w:firstLineChars="200"/>
        <w:textAlignment w:val="auto"/>
        <w:rPr>
          <w:rFonts w:ascii="宋体" w:hAnsi="宋体" w:eastAsia="宋体"/>
          <w:b w:val="0"/>
          <w:sz w:val="21"/>
          <w:szCs w:val="21"/>
          <w:highlight w:val="none"/>
        </w:rPr>
        <w:sectPr>
          <w:footerReference r:id="rId9" w:type="default"/>
          <w:pgSz w:w="11906" w:h="16838"/>
          <w:pgMar w:top="1431" w:right="1560" w:bottom="780" w:left="1560" w:header="0" w:footer="595" w:gutter="0"/>
          <w:cols w:space="720" w:num="1"/>
        </w:sectPr>
      </w:pPr>
      <w:bookmarkStart w:id="0" w:name="_GoBack"/>
      <w:bookmarkEnd w:id="0"/>
    </w:p>
    <w:p>
      <w:pPr>
        <w:pStyle w:val="166"/>
        <w:keepNext w:val="0"/>
        <w:keepLines w:val="0"/>
        <w:pageBreakBefore w:val="0"/>
        <w:widowControl/>
        <w:shd w:val="clear" w:color="FFFFFF" w:fill="FFFFFF"/>
        <w:kinsoku/>
        <w:wordWrap/>
        <w:overflowPunct/>
        <w:topLinePunct w:val="0"/>
        <w:autoSpaceDE/>
        <w:autoSpaceDN/>
        <w:bidi w:val="0"/>
        <w:adjustRightInd/>
        <w:snapToGrid/>
        <w:spacing w:before="560"/>
        <w:ind w:left="425" w:hanging="425"/>
        <w:textAlignment w:val="auto"/>
        <w:rPr>
          <w:rFonts w:hint="eastAsia"/>
          <w:spacing w:val="320"/>
          <w:szCs w:val="22"/>
          <w:highlight w:val="none"/>
          <w:lang w:eastAsia="zh-CN"/>
        </w:rPr>
      </w:pPr>
      <w:r>
        <w:rPr>
          <w:rFonts w:hint="eastAsia"/>
          <w:spacing w:val="320"/>
          <w:szCs w:val="22"/>
          <w:highlight w:val="none"/>
          <w:lang w:eastAsia="zh-CN"/>
        </w:rPr>
        <w:t>引言</w:t>
      </w:r>
    </w:p>
    <w:p>
      <w:pPr>
        <w:keepNext w:val="0"/>
        <w:keepLines w:val="0"/>
        <w:pageBreakBefore w:val="0"/>
        <w:widowControl/>
        <w:kinsoku/>
        <w:wordWrap/>
        <w:overflowPunct/>
        <w:topLinePunct w:val="0"/>
        <w:autoSpaceDE/>
        <w:autoSpaceDN/>
        <w:bidi w:val="0"/>
        <w:adjustRightInd/>
        <w:snapToGrid/>
        <w:spacing w:after="0" w:line="360" w:lineRule="exact"/>
        <w:ind w:firstLine="420" w:firstLineChars="200"/>
        <w:textAlignment w:val="auto"/>
        <w:rPr>
          <w:rFonts w:hint="eastAsia" w:ascii="宋体" w:hAnsi="宋体" w:eastAsia="宋体"/>
          <w:b w:val="0"/>
          <w:sz w:val="21"/>
          <w:szCs w:val="21"/>
          <w:highlight w:val="none"/>
          <w:lang w:eastAsia="zh-CN"/>
        </w:rPr>
      </w:pPr>
      <w:r>
        <w:rPr>
          <w:rFonts w:hint="default" w:ascii="宋体" w:hAnsi="宋体" w:eastAsia="宋体"/>
          <w:b w:val="0"/>
          <w:sz w:val="21"/>
          <w:szCs w:val="21"/>
          <w:highlight w:val="none"/>
        </w:rPr>
        <w:t>精神疾病与神经系统疾病在病理生理、临床谱系及诊疗策略层面高度交融，已然成为现代医学亟须以跨学科视野统筹应对的核心领域。随着对患者身心健康需求的认识加深，促进精神疾病与神经疾病的融合诊疗已成为推动精神卫生事业进一步发展的重要方向</w:t>
      </w:r>
      <w:r>
        <w:rPr>
          <w:rFonts w:hint="eastAsia" w:ascii="宋体" w:hAnsi="宋体" w:eastAsia="宋体"/>
          <w:b w:val="0"/>
          <w:sz w:val="21"/>
          <w:szCs w:val="21"/>
          <w:highlight w:val="none"/>
          <w:lang w:val="en-US" w:eastAsia="zh-CN"/>
        </w:rPr>
        <w:t>[1]</w:t>
      </w:r>
      <w:r>
        <w:rPr>
          <w:rFonts w:hint="default" w:ascii="宋体" w:hAnsi="宋体" w:eastAsia="宋体"/>
          <w:b w:val="0"/>
          <w:sz w:val="21"/>
          <w:szCs w:val="21"/>
          <w:highlight w:val="none"/>
        </w:rPr>
        <w:t>。许多神经系统疾病常伴发精神症状，而严重精神障碍患者也可能合并神经系统疾病，这类“神经精神交叉”问题日益受到关注</w:t>
      </w:r>
      <w:r>
        <w:rPr>
          <w:rFonts w:hint="eastAsia" w:ascii="宋体" w:hAnsi="宋体" w:eastAsia="宋体"/>
          <w:b w:val="0"/>
          <w:sz w:val="21"/>
          <w:szCs w:val="21"/>
          <w:highlight w:val="none"/>
          <w:lang w:val="en-US" w:eastAsia="zh-CN"/>
        </w:rPr>
        <w:t>[2]</w:t>
      </w:r>
      <w:r>
        <w:rPr>
          <w:rFonts w:hint="default" w:ascii="宋体" w:hAnsi="宋体" w:eastAsia="宋体"/>
          <w:b w:val="0"/>
          <w:sz w:val="21"/>
          <w:szCs w:val="21"/>
          <w:highlight w:val="none"/>
        </w:rPr>
        <w:t xml:space="preserve">。例如，脑卒中后的抑郁和焦虑是卒中最常见的神经精神并发症之一，发生率约为30%～50% </w:t>
      </w:r>
      <w:r>
        <w:rPr>
          <w:rFonts w:hint="eastAsia" w:ascii="宋体" w:hAnsi="宋体" w:eastAsia="宋体"/>
          <w:b w:val="0"/>
          <w:sz w:val="21"/>
          <w:szCs w:val="21"/>
          <w:highlight w:val="none"/>
          <w:lang w:val="en-US" w:eastAsia="zh-CN"/>
        </w:rPr>
        <w:t>[3]</w:t>
      </w:r>
      <w:r>
        <w:rPr>
          <w:rFonts w:hint="default" w:ascii="宋体" w:hAnsi="宋体" w:eastAsia="宋体"/>
          <w:b w:val="0"/>
          <w:sz w:val="21"/>
          <w:szCs w:val="21"/>
          <w:highlight w:val="none"/>
        </w:rPr>
        <w:t>。帕金森病患者中约有40%出现抑郁等情绪障碍</w:t>
      </w:r>
      <w:r>
        <w:rPr>
          <w:rFonts w:hint="eastAsia" w:ascii="宋体" w:hAnsi="宋体" w:eastAsia="宋体"/>
          <w:b w:val="0"/>
          <w:sz w:val="21"/>
          <w:szCs w:val="21"/>
          <w:highlight w:val="none"/>
          <w:lang w:val="en-US" w:eastAsia="zh-CN"/>
        </w:rPr>
        <w:t>[4]</w:t>
      </w:r>
      <w:r>
        <w:rPr>
          <w:rFonts w:hint="default" w:ascii="宋体" w:hAnsi="宋体" w:eastAsia="宋体"/>
          <w:b w:val="0"/>
          <w:sz w:val="21"/>
          <w:szCs w:val="21"/>
          <w:highlight w:val="none"/>
        </w:rPr>
        <w:t>，癫痫患者中抑郁和焦虑的患病率可达20%</w:t>
      </w:r>
      <w:r>
        <w:rPr>
          <w:rFonts w:hint="default" w:ascii="宋体" w:hAnsi="宋体" w:eastAsia="宋体"/>
          <w:b w:val="0"/>
          <w:sz w:val="21"/>
          <w:szCs w:val="21"/>
          <w:highlight w:val="none"/>
          <w:lang w:val="en-US" w:eastAsia="zh-CN"/>
        </w:rPr>
        <w:t>以上</w:t>
      </w:r>
      <w:r>
        <w:rPr>
          <w:rFonts w:hint="eastAsia" w:ascii="宋体" w:hAnsi="宋体" w:eastAsia="宋体"/>
          <w:b w:val="0"/>
          <w:sz w:val="21"/>
          <w:szCs w:val="21"/>
          <w:highlight w:val="none"/>
          <w:lang w:val="en-US" w:eastAsia="zh-CN"/>
        </w:rPr>
        <w:t>[5]</w:t>
      </w:r>
      <w:r>
        <w:rPr>
          <w:rFonts w:hint="default" w:ascii="宋体" w:hAnsi="宋体" w:eastAsia="宋体"/>
          <w:b w:val="0"/>
          <w:sz w:val="21"/>
          <w:szCs w:val="21"/>
          <w:highlight w:val="none"/>
        </w:rPr>
        <w:t>。外伤性脑损伤后也有相当比例的患者发生抑郁，文献报道外伤性脑损伤后一年内抑郁的发生率可达30%</w:t>
      </w:r>
      <w:r>
        <w:rPr>
          <w:rFonts w:hint="eastAsia" w:ascii="宋体" w:hAnsi="宋体" w:eastAsia="宋体"/>
          <w:b w:val="0"/>
          <w:sz w:val="21"/>
          <w:szCs w:val="21"/>
          <w:highlight w:val="none"/>
          <w:lang w:val="en-US" w:eastAsia="zh-CN"/>
        </w:rPr>
        <w:t>-</w:t>
      </w:r>
      <w:r>
        <w:rPr>
          <w:rFonts w:hint="default" w:ascii="宋体" w:hAnsi="宋体" w:eastAsia="宋体"/>
          <w:b w:val="0"/>
          <w:sz w:val="21"/>
          <w:szCs w:val="21"/>
          <w:highlight w:val="none"/>
        </w:rPr>
        <w:t xml:space="preserve">70%，显著高于一般人群 </w:t>
      </w:r>
      <w:r>
        <w:rPr>
          <w:rFonts w:hint="eastAsia" w:ascii="宋体" w:hAnsi="宋体" w:eastAsia="宋体"/>
          <w:b w:val="0"/>
          <w:sz w:val="21"/>
          <w:szCs w:val="21"/>
          <w:highlight w:val="none"/>
          <w:lang w:val="en-US" w:eastAsia="zh-CN"/>
        </w:rPr>
        <w:t>[6]</w:t>
      </w:r>
      <w:r>
        <w:rPr>
          <w:rFonts w:hint="default" w:ascii="宋体" w:hAnsi="宋体" w:eastAsia="宋体"/>
          <w:b w:val="0"/>
          <w:sz w:val="21"/>
          <w:szCs w:val="21"/>
          <w:highlight w:val="none"/>
        </w:rPr>
        <w:t>。如果缺乏神经科与精神科的协作，这些交叉领域疾病往往难以及时规范诊治，可能出现误诊漏诊或患者辗转于多家医院、反复就诊的情况</w:t>
      </w:r>
      <w:r>
        <w:rPr>
          <w:rFonts w:hint="eastAsia" w:ascii="宋体" w:hAnsi="宋体" w:eastAsia="宋体"/>
          <w:b w:val="0"/>
          <w:sz w:val="21"/>
          <w:szCs w:val="21"/>
          <w:highlight w:val="none"/>
          <w:lang w:val="en-US" w:eastAsia="zh-CN"/>
        </w:rPr>
        <w:t>[7]</w:t>
      </w:r>
      <w:r>
        <w:rPr>
          <w:rFonts w:hint="default" w:ascii="宋体" w:hAnsi="宋体" w:eastAsia="宋体"/>
          <w:b w:val="0"/>
          <w:sz w:val="21"/>
          <w:szCs w:val="21"/>
          <w:highlight w:val="none"/>
        </w:rPr>
        <w:t xml:space="preserve">。因此，在精神专科医院增设神经内科，对上述神经精神共患疾病实行多学科联合诊疗模式，具有重要意义。不仅能够让患者在同一机构内获得全面的身心诊疗服务，提高依从性和满意度，也让医生在施治时更具信心 </w:t>
      </w:r>
      <w:r>
        <w:rPr>
          <w:rFonts w:hint="eastAsia" w:ascii="宋体" w:hAnsi="宋体" w:eastAsia="宋体"/>
          <w:b w:val="0"/>
          <w:sz w:val="21"/>
          <w:szCs w:val="21"/>
          <w:highlight w:val="none"/>
          <w:lang w:val="en-US" w:eastAsia="zh-CN"/>
        </w:rPr>
        <w:t>[7]</w:t>
      </w:r>
      <w:r>
        <w:rPr>
          <w:rFonts w:hint="default" w:ascii="宋体" w:hAnsi="宋体" w:eastAsia="宋体"/>
          <w:b w:val="0"/>
          <w:sz w:val="21"/>
          <w:szCs w:val="21"/>
          <w:highlight w:val="none"/>
        </w:rPr>
        <w:t>。近年来，国家卫生主管部门和业内权威机构陆续出台政策和指南，鼓励精神专科医院加强综合医疗服务能力建设，推动设置神经内科等相关科室，实现精神与神经学科的交叉融合</w:t>
      </w:r>
      <w:r>
        <w:rPr>
          <w:rFonts w:hint="eastAsia" w:ascii="宋体" w:hAnsi="宋体" w:eastAsia="宋体"/>
          <w:b w:val="0"/>
          <w:sz w:val="21"/>
          <w:szCs w:val="21"/>
          <w:highlight w:val="none"/>
          <w:lang w:val="en-US" w:eastAsia="zh-CN"/>
        </w:rPr>
        <w:t>[8]</w:t>
      </w:r>
      <w:r>
        <w:rPr>
          <w:rFonts w:hint="default" w:ascii="宋体" w:hAnsi="宋体" w:eastAsia="宋体"/>
          <w:b w:val="0"/>
          <w:sz w:val="21"/>
          <w:szCs w:val="21"/>
          <w:highlight w:val="none"/>
        </w:rPr>
        <w:t>。本文件正是基于上述背景和需求，提出精神专科医院中神经内科建设的规范要求，以指导各相关机构规范、有序地开展神经内科的设立和管理，提升精神专科机构对神经精神共患疾病的综合诊疗能力，造福广大患者</w:t>
      </w:r>
      <w:r>
        <w:rPr>
          <w:rFonts w:hint="eastAsia" w:ascii="宋体" w:hAnsi="宋体" w:eastAsia="宋体"/>
          <w:b w:val="0"/>
          <w:sz w:val="21"/>
          <w:szCs w:val="21"/>
          <w:highlight w:val="none"/>
          <w:lang w:eastAsia="zh-CN"/>
        </w:rPr>
        <w:t>。</w:t>
      </w:r>
    </w:p>
    <w:p>
      <w:pPr>
        <w:keepNext w:val="0"/>
        <w:keepLines w:val="0"/>
        <w:pageBreakBefore w:val="0"/>
        <w:widowControl/>
        <w:kinsoku/>
        <w:wordWrap/>
        <w:overflowPunct/>
        <w:topLinePunct w:val="0"/>
        <w:autoSpaceDE/>
        <w:autoSpaceDN/>
        <w:bidi w:val="0"/>
        <w:adjustRightInd/>
        <w:snapToGrid/>
        <w:spacing w:after="0" w:line="360" w:lineRule="exact"/>
        <w:ind w:firstLine="420" w:firstLineChars="200"/>
        <w:textAlignment w:val="auto"/>
        <w:rPr>
          <w:rFonts w:hint="eastAsia" w:ascii="宋体" w:hAnsi="宋体" w:eastAsia="宋体"/>
          <w:b w:val="0"/>
          <w:sz w:val="21"/>
          <w:szCs w:val="21"/>
          <w:highlight w:val="none"/>
          <w:lang w:eastAsia="zh-CN"/>
        </w:rPr>
      </w:pPr>
    </w:p>
    <w:p>
      <w:pPr>
        <w:keepNext w:val="0"/>
        <w:keepLines w:val="0"/>
        <w:pageBreakBefore w:val="0"/>
        <w:widowControl/>
        <w:kinsoku/>
        <w:wordWrap/>
        <w:overflowPunct/>
        <w:topLinePunct w:val="0"/>
        <w:autoSpaceDE/>
        <w:autoSpaceDN/>
        <w:bidi w:val="0"/>
        <w:adjustRightInd/>
        <w:snapToGrid/>
        <w:spacing w:after="0" w:line="360" w:lineRule="exact"/>
        <w:ind w:firstLine="420" w:firstLineChars="200"/>
        <w:textAlignment w:val="auto"/>
        <w:rPr>
          <w:rFonts w:hint="eastAsia" w:ascii="宋体" w:hAnsi="宋体" w:eastAsia="宋体"/>
          <w:b w:val="0"/>
          <w:sz w:val="21"/>
          <w:szCs w:val="21"/>
          <w:highlight w:val="none"/>
          <w:lang w:eastAsia="zh-CN"/>
        </w:rPr>
      </w:pPr>
    </w:p>
    <w:p>
      <w:pPr>
        <w:keepNext w:val="0"/>
        <w:keepLines w:val="0"/>
        <w:pageBreakBefore w:val="0"/>
        <w:widowControl/>
        <w:kinsoku/>
        <w:wordWrap/>
        <w:overflowPunct/>
        <w:topLinePunct w:val="0"/>
        <w:autoSpaceDE/>
        <w:autoSpaceDN/>
        <w:bidi w:val="0"/>
        <w:adjustRightInd/>
        <w:snapToGrid/>
        <w:spacing w:after="0" w:line="360" w:lineRule="exact"/>
        <w:ind w:firstLine="420" w:firstLineChars="200"/>
        <w:textAlignment w:val="auto"/>
        <w:rPr>
          <w:rFonts w:hint="eastAsia" w:ascii="宋体" w:hAnsi="宋体" w:eastAsia="宋体"/>
          <w:b w:val="0"/>
          <w:sz w:val="21"/>
          <w:szCs w:val="21"/>
          <w:highlight w:val="none"/>
          <w:lang w:eastAsia="zh-CN"/>
        </w:rPr>
        <w:sectPr>
          <w:pgSz w:w="11906" w:h="16838"/>
          <w:pgMar w:top="1431" w:right="1560" w:bottom="780" w:left="1560" w:header="0" w:footer="595" w:gutter="0"/>
          <w:cols w:space="720" w:num="1"/>
        </w:sectPr>
      </w:pPr>
    </w:p>
    <w:p>
      <w:pPr>
        <w:pStyle w:val="167"/>
        <w:keepNext w:val="0"/>
        <w:keepLines w:val="0"/>
        <w:pageBreakBefore w:val="0"/>
        <w:widowControl/>
        <w:numPr>
          <w:ilvl w:val="0"/>
          <w:numId w:val="0"/>
        </w:numPr>
        <w:shd w:val="clear" w:color="FFFFFF" w:fill="FFFFFF"/>
        <w:kinsoku/>
        <w:wordWrap/>
        <w:overflowPunct/>
        <w:topLinePunct w:val="0"/>
        <w:autoSpaceDE/>
        <w:autoSpaceDN/>
        <w:bidi w:val="0"/>
        <w:adjustRightInd/>
        <w:snapToGrid/>
        <w:textAlignment w:val="auto"/>
        <w:rPr>
          <w:rFonts w:hint="eastAsia"/>
          <w:szCs w:val="22"/>
          <w:highlight w:val="none"/>
        </w:rPr>
      </w:pPr>
      <w:r>
        <w:rPr>
          <w:rFonts w:hint="eastAsia"/>
          <w:szCs w:val="22"/>
          <w:highlight w:val="none"/>
          <w:lang w:val="en-US" w:eastAsia="zh-CN"/>
        </w:rPr>
        <w:t>精神专科医院神经内科建设规范</w:t>
      </w:r>
    </w:p>
    <w:p>
      <w:pPr>
        <w:pStyle w:val="168"/>
        <w:numPr>
          <w:ilvl w:val="0"/>
          <w:numId w:val="9"/>
        </w:numPr>
        <w:spacing w:before="240" w:beforeLines="100" w:after="240" w:afterLines="100" w:line="360" w:lineRule="exact"/>
        <w:outlineLvl w:val="0"/>
        <w:rPr>
          <w:rFonts w:hint="eastAsia" w:ascii="Times New Roman"/>
          <w:highlight w:val="none"/>
        </w:rPr>
      </w:pPr>
      <w:r>
        <w:rPr>
          <w:rFonts w:hint="eastAsia" w:ascii="Times New Roman"/>
          <w:highlight w:val="none"/>
        </w:rPr>
        <w:t>范围</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本文件规定了精神专科医院中神经内科科室设立与管理的基本要求，包括组织架构、人员配</w:t>
      </w:r>
      <w:r>
        <w:rPr>
          <w:rFonts w:hint="default" w:ascii="Times New Roman" w:hAnsi="Times New Roman" w:eastAsia="宋体" w:cs="Times New Roman"/>
          <w:spacing w:val="-1"/>
          <w:sz w:val="21"/>
          <w:szCs w:val="21"/>
          <w:highlight w:val="none"/>
          <w:shd w:val="clear" w:color="auto" w:fill="auto"/>
        </w:rPr>
        <w:t>置、诊疗模式、工</w:t>
      </w:r>
      <w:r>
        <w:rPr>
          <w:rFonts w:hint="default" w:ascii="Times New Roman" w:hAnsi="Times New Roman" w:eastAsia="宋体" w:cs="Times New Roman"/>
          <w:sz w:val="21"/>
          <w:szCs w:val="21"/>
          <w:highlight w:val="none"/>
          <w:shd w:val="clear" w:color="auto" w:fill="auto"/>
        </w:rPr>
        <w:t>作流程、设施设备、信息系统、协作机制以及安全与质量控制等方面的内容。</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本文件适用于</w:t>
      </w:r>
      <w:r>
        <w:rPr>
          <w:rFonts w:hint="default" w:ascii="Times New Roman" w:hAnsi="Times New Roman" w:eastAsia="宋体" w:cs="Times New Roman"/>
          <w:spacing w:val="-1"/>
          <w:sz w:val="21"/>
          <w:szCs w:val="21"/>
          <w:highlight w:val="none"/>
          <w:shd w:val="clear" w:color="auto" w:fill="auto"/>
        </w:rPr>
        <w:t>各级各类精神专科</w:t>
      </w:r>
      <w:r>
        <w:rPr>
          <w:rFonts w:hint="default" w:ascii="Times New Roman" w:hAnsi="Times New Roman" w:eastAsia="宋体" w:cs="Times New Roman"/>
          <w:sz w:val="21"/>
          <w:szCs w:val="21"/>
          <w:highlight w:val="none"/>
          <w:shd w:val="clear" w:color="auto" w:fill="auto"/>
        </w:rPr>
        <w:t xml:space="preserve"> 医疗机构新建或完善神经内科科室的规划、建设和运行管理，也可供综合医院的精神科与神</w:t>
      </w:r>
      <w:r>
        <w:rPr>
          <w:rFonts w:hint="default" w:ascii="Times New Roman" w:hAnsi="Times New Roman" w:eastAsia="宋体" w:cs="Times New Roman"/>
          <w:spacing w:val="-1"/>
          <w:sz w:val="21"/>
          <w:szCs w:val="21"/>
          <w:highlight w:val="none"/>
          <w:shd w:val="clear" w:color="auto" w:fill="auto"/>
        </w:rPr>
        <w:t>经内科协同建设参</w:t>
      </w:r>
      <w:r>
        <w:rPr>
          <w:rFonts w:hint="default" w:ascii="Times New Roman" w:hAnsi="Times New Roman" w:eastAsia="宋体" w:cs="Times New Roman"/>
          <w:spacing w:val="-7"/>
          <w:sz w:val="21"/>
          <w:szCs w:val="21"/>
          <w:highlight w:val="none"/>
          <w:shd w:val="clear" w:color="auto" w:fill="auto"/>
        </w:rPr>
        <w:t>考执行。</w:t>
      </w:r>
    </w:p>
    <w:p>
      <w:pPr>
        <w:pStyle w:val="168"/>
        <w:numPr>
          <w:ilvl w:val="0"/>
          <w:numId w:val="9"/>
        </w:numPr>
        <w:spacing w:before="240" w:beforeLines="100" w:after="240" w:afterLines="100" w:line="360" w:lineRule="exact"/>
        <w:outlineLvl w:val="0"/>
        <w:rPr>
          <w:rFonts w:hint="default" w:ascii="Times New Roman"/>
          <w:highlight w:val="none"/>
        </w:rPr>
      </w:pPr>
      <w:r>
        <w:rPr>
          <w:rFonts w:hint="default" w:ascii="Times New Roman"/>
          <w:highlight w:val="none"/>
        </w:rPr>
        <w:t>规范性引用文件</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下列文件中的内容通过规范性引用构成本文件必不可少的条款。其中，凡是注日期的引用文件，仅所注日期对 应的版本适用于本文件；凡是不注日期的引用文件，其最新版本（包括所有的修改单）适用于本文件。</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GB/T 1.1—2020 《标准化工作导则 第1部分：标准化文件的结构和起草规则》</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《中华人民共和国精神卫生法》（2012年）</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《国家精神医学中心设置标准》（国家卫生健康委员会，2023年）</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《精神专科医院建设标准》（国家发展改革委，2016年）</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T/CACM 1130—2018 《中医神志病临床诊疗指南 · 中风后精神障碍》</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《卒中后抑郁临床诊疗指南》（《临床心身疾病杂志》2020年第26卷第3期附录）等。</w:t>
      </w:r>
    </w:p>
    <w:p>
      <w:pPr>
        <w:pStyle w:val="168"/>
        <w:numPr>
          <w:ilvl w:val="0"/>
          <w:numId w:val="9"/>
        </w:numPr>
        <w:spacing w:before="240" w:beforeLines="100" w:after="240" w:afterLines="100" w:line="360" w:lineRule="exact"/>
        <w:outlineLvl w:val="0"/>
        <w:rPr>
          <w:rFonts w:hint="default" w:ascii="Times New Roman"/>
          <w:highlight w:val="none"/>
        </w:rPr>
      </w:pPr>
      <w:r>
        <w:rPr>
          <w:rFonts w:hint="default" w:ascii="Times New Roman"/>
          <w:highlight w:val="none"/>
        </w:rPr>
        <w:t>术语和定义</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下列术语和定义适用于本文件。</w:t>
      </w:r>
    </w:p>
    <w:p>
      <w:pPr>
        <w:pStyle w:val="169"/>
        <w:spacing w:before="120" w:beforeLines="50" w:after="120" w:afterLines="50" w:line="360" w:lineRule="exact"/>
        <w:ind w:firstLine="420" w:firstLineChars="200"/>
        <w:rPr>
          <w:rFonts w:hint="default" w:ascii="黑体" w:hAnsi="黑体" w:eastAsia="黑体"/>
          <w:szCs w:val="22"/>
          <w:highlight w:val="none"/>
        </w:rPr>
      </w:pPr>
      <w:r>
        <w:rPr>
          <w:rFonts w:hint="default" w:ascii="黑体" w:hAnsi="黑体" w:eastAsia="黑体"/>
          <w:szCs w:val="22"/>
          <w:highlight w:val="none"/>
        </w:rPr>
        <w:t>3.1 精神专科医院 （psychiatric specialty hospital）</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以精神科医疗服务为主的专科医院。主要收治各类精神障碍患者，开展精神科的临床诊疗、康复、预防保健及 科研教学等工作。</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eastAsia" w:ascii="Times New Roman" w:hAnsi="Times New Roman" w:eastAsia="宋体" w:cs="Times New Roman"/>
          <w:sz w:val="21"/>
          <w:szCs w:val="21"/>
          <w:highlight w:val="none"/>
          <w:shd w:val="clear" w:color="auto" w:fill="auto"/>
          <w:lang w:val="en-US" w:eastAsia="zh-CN"/>
        </w:rPr>
        <w:t>注：</w:t>
      </w:r>
      <w:r>
        <w:rPr>
          <w:rFonts w:hint="default" w:ascii="Times New Roman" w:hAnsi="Times New Roman" w:eastAsia="宋体" w:cs="Times New Roman"/>
          <w:sz w:val="21"/>
          <w:szCs w:val="21"/>
          <w:highlight w:val="none"/>
          <w:shd w:val="clear" w:color="auto" w:fill="auto"/>
        </w:rPr>
        <w:t>通常为区域性或国家级三级甲等精神病专科医院，开放床位规模根据区域人口和需求确定，一般不少于数百张，具备收治急性期严重精神障碍患者的能力</w:t>
      </w:r>
      <w:r>
        <w:rPr>
          <w:rFonts w:hint="default" w:ascii="Times New Roman" w:hAnsi="Times New Roman" w:eastAsia="宋体" w:cs="Times New Roman"/>
          <w:sz w:val="21"/>
          <w:szCs w:val="21"/>
          <w:highlight w:val="none"/>
          <w:shd w:val="clear" w:color="auto" w:fill="auto"/>
          <w:vertAlign w:val="superscript"/>
        </w:rPr>
        <w:t xml:space="preserve"> </w:t>
      </w:r>
      <w:r>
        <w:rPr>
          <w:rFonts w:hint="eastAsia" w:ascii="Times New Roman" w:hAnsi="Times New Roman" w:eastAsia="宋体" w:cs="Times New Roman"/>
          <w:sz w:val="21"/>
          <w:szCs w:val="21"/>
          <w:highlight w:val="none"/>
          <w:shd w:val="clear" w:color="auto" w:fill="auto"/>
          <w:vertAlign w:val="superscript"/>
          <w:lang w:val="en-US" w:eastAsia="zh-CN"/>
        </w:rPr>
        <w:t>[9]</w:t>
      </w:r>
      <w:r>
        <w:rPr>
          <w:rFonts w:hint="default" w:ascii="Times New Roman" w:hAnsi="Times New Roman" w:eastAsia="宋体" w:cs="Times New Roman"/>
          <w:sz w:val="21"/>
          <w:szCs w:val="21"/>
          <w:highlight w:val="none"/>
          <w:shd w:val="clear" w:color="auto" w:fill="auto"/>
        </w:rPr>
        <w:t>。</w:t>
      </w:r>
    </w:p>
    <w:p>
      <w:pPr>
        <w:pStyle w:val="169"/>
        <w:spacing w:before="120" w:beforeLines="50" w:after="120" w:afterLines="50" w:line="360" w:lineRule="exact"/>
        <w:ind w:firstLine="420" w:firstLineChars="200"/>
        <w:rPr>
          <w:rFonts w:hint="default" w:ascii="黑体" w:hAnsi="黑体" w:eastAsia="黑体"/>
          <w:szCs w:val="22"/>
          <w:highlight w:val="none"/>
        </w:rPr>
      </w:pPr>
      <w:r>
        <w:rPr>
          <w:rFonts w:hint="default" w:ascii="黑体" w:hAnsi="黑体" w:eastAsia="黑体"/>
          <w:szCs w:val="22"/>
          <w:highlight w:val="none"/>
        </w:rPr>
        <w:t>3.2 神经内科 （neurology department）</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医院内设置的以诊治神经系统疾病为专业方向的临床科室。负责中枢神经系统和周围神经系统常见疾病（如脑 血管病、癫痫、神经变性病、脱髓鞘疾病、神经感染、头痛眩晕等）的诊断、治疗和预防。</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eastAsia" w:ascii="Times New Roman" w:hAnsi="Times New Roman" w:eastAsia="宋体" w:cs="Times New Roman"/>
          <w:sz w:val="21"/>
          <w:szCs w:val="21"/>
          <w:highlight w:val="none"/>
          <w:shd w:val="clear" w:color="auto" w:fill="auto"/>
          <w:lang w:val="en-US" w:eastAsia="zh-CN"/>
        </w:rPr>
        <w:t>注：</w:t>
      </w:r>
      <w:r>
        <w:rPr>
          <w:rFonts w:hint="default" w:ascii="Times New Roman" w:hAnsi="Times New Roman" w:eastAsia="宋体" w:cs="Times New Roman"/>
          <w:sz w:val="21"/>
          <w:szCs w:val="21"/>
          <w:highlight w:val="none"/>
          <w:shd w:val="clear" w:color="auto" w:fill="auto"/>
        </w:rPr>
        <w:t>在精神专科医院中，神经内科侧重于诊治神经系统疾病及其伴发的精神症状，</w:t>
      </w:r>
      <w:r>
        <w:rPr>
          <w:rFonts w:hint="default" w:ascii="Times New Roman" w:hAnsi="Times New Roman" w:eastAsia="宋体" w:cs="Times New Roman"/>
          <w:sz w:val="21"/>
          <w:szCs w:val="21"/>
          <w:highlight w:val="none"/>
          <w:shd w:val="clear" w:color="auto" w:fill="auto"/>
          <w:lang w:val="en-US" w:eastAsia="zh-CN"/>
        </w:rPr>
        <w:t>同时</w:t>
      </w:r>
      <w:r>
        <w:rPr>
          <w:rFonts w:hint="default" w:ascii="Times New Roman" w:hAnsi="Times New Roman" w:eastAsia="宋体" w:cs="Times New Roman"/>
          <w:sz w:val="21"/>
          <w:szCs w:val="21"/>
          <w:highlight w:val="none"/>
          <w:shd w:val="clear" w:color="auto" w:fill="auto"/>
        </w:rPr>
        <w:t>为精神科患者提供神经科会诊和相关检查治疗服务。</w:t>
      </w:r>
    </w:p>
    <w:p>
      <w:pPr>
        <w:pStyle w:val="169"/>
        <w:spacing w:before="120" w:beforeLines="50" w:after="120" w:afterLines="50" w:line="360" w:lineRule="exact"/>
        <w:ind w:firstLine="420" w:firstLineChars="200"/>
        <w:rPr>
          <w:rFonts w:hint="default" w:ascii="黑体" w:hAnsi="黑体" w:eastAsia="黑体"/>
          <w:szCs w:val="22"/>
          <w:highlight w:val="none"/>
        </w:rPr>
      </w:pPr>
      <w:r>
        <w:rPr>
          <w:rFonts w:hint="default" w:ascii="黑体" w:hAnsi="黑体" w:eastAsia="黑体"/>
          <w:szCs w:val="22"/>
          <w:highlight w:val="none"/>
        </w:rPr>
        <w:t>3.3 神经精神交叉疾病 （neuropsychiatric</w:t>
      </w:r>
      <w:r>
        <w:rPr>
          <w:rFonts w:hint="eastAsia" w:ascii="黑体" w:hAnsi="黑体" w:eastAsia="黑体"/>
          <w:szCs w:val="22"/>
          <w:highlight w:val="none"/>
          <w:lang w:val="en-US" w:eastAsia="zh-CN"/>
        </w:rPr>
        <w:t xml:space="preserve">  </w:t>
      </w:r>
      <w:r>
        <w:rPr>
          <w:rFonts w:hint="default" w:ascii="黑体" w:hAnsi="黑体" w:eastAsia="黑体"/>
          <w:szCs w:val="22"/>
          <w:highlight w:val="none"/>
        </w:rPr>
        <w:t xml:space="preserve">comorbid </w:t>
      </w:r>
      <w:r>
        <w:rPr>
          <w:rFonts w:hint="eastAsia" w:ascii="黑体" w:hAnsi="黑体" w:eastAsia="黑体"/>
          <w:szCs w:val="22"/>
          <w:highlight w:val="none"/>
          <w:lang w:val="en-US" w:eastAsia="zh-CN"/>
        </w:rPr>
        <w:t xml:space="preserve"> </w:t>
      </w:r>
      <w:r>
        <w:rPr>
          <w:rFonts w:hint="default" w:ascii="黑体" w:hAnsi="黑体" w:eastAsia="黑体"/>
          <w:szCs w:val="22"/>
          <w:highlight w:val="none"/>
        </w:rPr>
        <w:t>disorders）</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同时涉及神经系统和精神</w:t>
      </w:r>
      <w:r>
        <w:rPr>
          <w:rFonts w:hint="default" w:ascii="Times New Roman" w:hAnsi="Times New Roman" w:eastAsia="宋体" w:cs="Times New Roman"/>
          <w:sz w:val="21"/>
          <w:szCs w:val="21"/>
          <w:highlight w:val="none"/>
          <w:shd w:val="clear" w:color="auto" w:fill="auto"/>
          <w:lang w:val="en-US" w:eastAsia="zh-CN"/>
        </w:rPr>
        <w:t>系统</w:t>
      </w:r>
      <w:r>
        <w:rPr>
          <w:rFonts w:hint="default" w:ascii="Times New Roman" w:hAnsi="Times New Roman" w:eastAsia="宋体" w:cs="Times New Roman"/>
          <w:sz w:val="21"/>
          <w:szCs w:val="21"/>
          <w:highlight w:val="none"/>
          <w:shd w:val="clear" w:color="auto" w:fill="auto"/>
        </w:rPr>
        <w:t>的疾病或症候群。这类疾病的特点是神经系统疾病可表现出精神心理症状，精神类疾病患者也可能合并神经系统功能异常。</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eastAsia" w:ascii="Times New Roman" w:hAnsi="Times New Roman" w:eastAsia="宋体" w:cs="Times New Roman"/>
          <w:sz w:val="21"/>
          <w:szCs w:val="21"/>
          <w:highlight w:val="none"/>
          <w:shd w:val="clear" w:color="auto" w:fill="auto"/>
          <w:lang w:val="en-US" w:eastAsia="zh-CN"/>
        </w:rPr>
        <w:t>注：</w:t>
      </w:r>
      <w:r>
        <w:rPr>
          <w:rFonts w:hint="default" w:ascii="Times New Roman" w:hAnsi="Times New Roman" w:eastAsia="宋体" w:cs="Times New Roman"/>
          <w:sz w:val="21"/>
          <w:szCs w:val="21"/>
          <w:highlight w:val="none"/>
          <w:shd w:val="clear" w:color="auto" w:fill="auto"/>
        </w:rPr>
        <w:t>常见的神经精神交叉疾病包括：阿尔茨海默病、路易体痴呆、额颞叶痴呆等</w:t>
      </w:r>
      <w:r>
        <w:rPr>
          <w:rFonts w:hint="default" w:ascii="Times New Roman" w:hAnsi="Times New Roman" w:eastAsia="宋体" w:cs="Times New Roman"/>
          <w:sz w:val="21"/>
          <w:szCs w:val="21"/>
          <w:highlight w:val="none"/>
          <w:shd w:val="clear" w:color="auto" w:fill="auto"/>
          <w:lang w:val="en-US" w:eastAsia="zh-CN"/>
        </w:rPr>
        <w:t>认知障碍相关</w:t>
      </w:r>
      <w:r>
        <w:rPr>
          <w:rFonts w:hint="default" w:ascii="Times New Roman" w:hAnsi="Times New Roman" w:eastAsia="宋体" w:cs="Times New Roman"/>
          <w:sz w:val="21"/>
          <w:szCs w:val="21"/>
          <w:highlight w:val="none"/>
          <w:shd w:val="clear" w:color="auto" w:fill="auto"/>
        </w:rPr>
        <w:t>疾病，帕金森病等运动障碍疾病伴发抑郁</w:t>
      </w:r>
      <w:r>
        <w:rPr>
          <w:rFonts w:hint="default" w:ascii="Times New Roman" w:hAnsi="Times New Roman" w:eastAsia="宋体" w:cs="Times New Roman"/>
          <w:sz w:val="21"/>
          <w:szCs w:val="21"/>
          <w:highlight w:val="none"/>
          <w:shd w:val="clear" w:color="auto" w:fill="auto"/>
          <w:lang w:eastAsia="zh-CN"/>
        </w:rPr>
        <w:t>、</w:t>
      </w:r>
      <w:r>
        <w:rPr>
          <w:rFonts w:hint="default" w:ascii="Times New Roman" w:hAnsi="Times New Roman" w:eastAsia="宋体" w:cs="Times New Roman"/>
          <w:sz w:val="21"/>
          <w:szCs w:val="21"/>
          <w:highlight w:val="none"/>
          <w:shd w:val="clear" w:color="auto" w:fill="auto"/>
        </w:rPr>
        <w:t>焦虑等情绪和行为异常，脑卒中后出现的抑郁、焦虑等精神障碍，癫痫所致精神障碍，脑炎所致精神障碍，脑外伤所致精神障碍等</w:t>
      </w:r>
      <w:r>
        <w:rPr>
          <w:rFonts w:hint="eastAsia" w:ascii="Times New Roman" w:hAnsi="Times New Roman" w:eastAsia="宋体" w:cs="Times New Roman"/>
          <w:sz w:val="21"/>
          <w:szCs w:val="21"/>
          <w:highlight w:val="none"/>
          <w:shd w:val="clear" w:color="auto" w:fill="auto"/>
          <w:lang w:val="en-US" w:eastAsia="zh-CN"/>
        </w:rPr>
        <w:t>[2,10]</w:t>
      </w:r>
      <w:r>
        <w:rPr>
          <w:rFonts w:hint="default" w:ascii="Times New Roman" w:hAnsi="Times New Roman" w:eastAsia="宋体" w:cs="Times New Roman"/>
          <w:sz w:val="21"/>
          <w:szCs w:val="21"/>
          <w:highlight w:val="none"/>
          <w:shd w:val="clear" w:color="auto" w:fill="auto"/>
        </w:rPr>
        <w:t>。这类疾病的诊疗需要神经科与精神科协作完成。</w:t>
      </w:r>
    </w:p>
    <w:p>
      <w:pPr>
        <w:pStyle w:val="169"/>
        <w:spacing w:before="120" w:beforeLines="50" w:after="120" w:afterLines="50" w:line="360" w:lineRule="exact"/>
        <w:ind w:firstLine="420" w:firstLineChars="200"/>
        <w:rPr>
          <w:rFonts w:hint="default" w:ascii="黑体" w:hAnsi="黑体" w:eastAsia="黑体"/>
          <w:szCs w:val="22"/>
          <w:highlight w:val="none"/>
        </w:rPr>
      </w:pPr>
      <w:r>
        <w:rPr>
          <w:rFonts w:hint="default" w:ascii="黑体" w:hAnsi="黑体" w:eastAsia="黑体"/>
          <w:szCs w:val="22"/>
          <w:highlight w:val="none"/>
        </w:rPr>
        <w:t>3.4 神经精神联合诊疗模式 （integrated neuropsychiatric care model）</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由精神科与神经内科医师共同参与，对神经精神交叉疾病患者进行联合会诊、联合查房的一种多学科诊疗模式</w:t>
      </w:r>
      <w:r>
        <w:rPr>
          <w:rFonts w:hint="eastAsia" w:ascii="Times New Roman" w:hAnsi="Times New Roman" w:eastAsia="宋体" w:cs="Times New Roman"/>
          <w:sz w:val="21"/>
          <w:szCs w:val="21"/>
          <w:highlight w:val="none"/>
          <w:shd w:val="clear" w:color="auto" w:fill="auto"/>
          <w:lang w:val="en-US" w:eastAsia="zh-CN"/>
        </w:rPr>
        <w:t>[7]</w:t>
      </w:r>
      <w:r>
        <w:rPr>
          <w:rFonts w:hint="default" w:ascii="Times New Roman" w:hAnsi="Times New Roman" w:eastAsia="宋体" w:cs="Times New Roman"/>
          <w:sz w:val="21"/>
          <w:szCs w:val="21"/>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eastAsia" w:ascii="Times New Roman" w:hAnsi="Times New Roman" w:eastAsia="宋体" w:cs="Times New Roman"/>
          <w:sz w:val="21"/>
          <w:szCs w:val="21"/>
          <w:highlight w:val="none"/>
          <w:shd w:val="clear" w:color="auto" w:fill="auto"/>
          <w:lang w:val="en-US" w:eastAsia="zh-CN"/>
        </w:rPr>
        <w:t>注：</w:t>
      </w:r>
      <w:r>
        <w:rPr>
          <w:rFonts w:hint="default" w:ascii="Times New Roman" w:hAnsi="Times New Roman" w:eastAsia="宋体" w:cs="Times New Roman"/>
          <w:sz w:val="21"/>
          <w:szCs w:val="21"/>
          <w:highlight w:val="none"/>
          <w:shd w:val="clear" w:color="auto" w:fill="auto"/>
        </w:rPr>
        <w:t>通过神经、精神专业团队的密切合作，为患者提供全面的生物-心理-社会综合诊疗服务，提高诊治效果和患者满意度。</w:t>
      </w:r>
    </w:p>
    <w:p>
      <w:pPr>
        <w:pStyle w:val="168"/>
        <w:numPr>
          <w:ilvl w:val="0"/>
          <w:numId w:val="9"/>
        </w:numPr>
        <w:spacing w:before="240" w:beforeLines="100" w:after="240" w:afterLines="100" w:line="360" w:lineRule="exact"/>
        <w:outlineLvl w:val="0"/>
        <w:rPr>
          <w:rFonts w:hint="default" w:ascii="Times New Roman"/>
          <w:highlight w:val="none"/>
        </w:rPr>
      </w:pPr>
      <w:r>
        <w:rPr>
          <w:rFonts w:hint="default" w:ascii="Times New Roman"/>
          <w:highlight w:val="none"/>
        </w:rPr>
        <w:t xml:space="preserve"> 组织与管理</w:t>
      </w:r>
    </w:p>
    <w:p>
      <w:pPr>
        <w:pStyle w:val="169"/>
        <w:keepNext w:val="0"/>
        <w:keepLines w:val="0"/>
        <w:pageBreakBefore w:val="0"/>
        <w:widowControl/>
        <w:kinsoku/>
        <w:wordWrap/>
        <w:overflowPunct/>
        <w:topLinePunct w:val="0"/>
        <w:autoSpaceDE w:val="0"/>
        <w:autoSpaceDN w:val="0"/>
        <w:bidi w:val="0"/>
        <w:adjustRightInd/>
        <w:snapToGrid/>
        <w:spacing w:before="120" w:beforeLines="50" w:after="120" w:afterLines="50" w:line="360" w:lineRule="exact"/>
        <w:ind w:firstLine="0" w:firstLineChars="0"/>
        <w:textAlignment w:val="auto"/>
        <w:outlineLvl w:val="9"/>
        <w:rPr>
          <w:rFonts w:hint="default" w:ascii="黑体" w:hAnsi="黑体" w:eastAsia="黑体" w:cs="Times New Roman"/>
          <w:sz w:val="21"/>
          <w:szCs w:val="22"/>
          <w:highlight w:val="none"/>
          <w:lang w:val="en-US" w:eastAsia="en-US" w:bidi="ar-SA"/>
        </w:rPr>
      </w:pPr>
      <w:r>
        <w:rPr>
          <w:rFonts w:hint="default" w:ascii="黑体" w:hAnsi="黑体" w:eastAsia="黑体" w:cs="Times New Roman"/>
          <w:sz w:val="21"/>
          <w:szCs w:val="22"/>
          <w:highlight w:val="none"/>
          <w:lang w:val="en-US" w:eastAsia="en-US" w:bidi="ar-SA"/>
        </w:rPr>
        <w:t>4.1 组织架构</w:t>
      </w:r>
    </w:p>
    <w:p>
      <w:pPr>
        <w:pStyle w:val="169"/>
        <w:tabs>
          <w:tab w:val="center" w:pos="4201"/>
          <w:tab w:val="right" w:leader="dot" w:pos="9298"/>
        </w:tabs>
        <w:spacing w:line="360" w:lineRule="exact"/>
        <w:ind w:firstLine="420"/>
        <w:rPr>
          <w:rFonts w:hint="eastAsia" w:ascii="Times New Roman" w:hAnsi="Times New Roman" w:eastAsia="宋体" w:cs="Times New Roman"/>
          <w:sz w:val="21"/>
          <w:szCs w:val="21"/>
          <w:highlight w:val="none"/>
          <w:shd w:val="clear" w:color="auto" w:fill="auto"/>
          <w:lang w:val="en-US" w:eastAsia="en-US" w:bidi="ar-SA"/>
        </w:rPr>
      </w:pPr>
      <w:r>
        <w:rPr>
          <w:rFonts w:hint="eastAsia" w:ascii="Times New Roman" w:hAnsi="Times New Roman" w:eastAsia="宋体" w:cs="Times New Roman"/>
          <w:sz w:val="21"/>
          <w:szCs w:val="21"/>
          <w:highlight w:val="none"/>
          <w:shd w:val="clear" w:color="auto" w:fill="auto"/>
          <w:lang w:val="en-US" w:eastAsia="en-US" w:bidi="ar-SA"/>
        </w:rPr>
        <w:t>精神专科医院应将神经内科作为独立的临床一级或二级科室设置，纳入医疗业务管理体系。科室内部可下设门诊、病区（含护理单元）、辅助检查室及相关专病诊疗单元（如神经电生理检查室、认知或运动障碍诊疗中心等）[11]。有条件的医院可设立“精神-神经联合病房”[7]。</w:t>
      </w:r>
    </w:p>
    <w:p>
      <w:pPr>
        <w:pStyle w:val="169"/>
        <w:keepNext w:val="0"/>
        <w:keepLines w:val="0"/>
        <w:pageBreakBefore w:val="0"/>
        <w:widowControl/>
        <w:kinsoku/>
        <w:wordWrap/>
        <w:overflowPunct/>
        <w:topLinePunct w:val="0"/>
        <w:autoSpaceDE w:val="0"/>
        <w:autoSpaceDN w:val="0"/>
        <w:bidi w:val="0"/>
        <w:adjustRightInd/>
        <w:snapToGrid/>
        <w:spacing w:before="120" w:beforeLines="50" w:after="120" w:afterLines="50" w:line="360" w:lineRule="exact"/>
        <w:ind w:firstLine="0" w:firstLineChars="0"/>
        <w:textAlignment w:val="auto"/>
        <w:outlineLvl w:val="9"/>
        <w:rPr>
          <w:rFonts w:hint="default" w:ascii="黑体" w:hAnsi="黑体" w:eastAsia="黑体"/>
          <w:szCs w:val="22"/>
          <w:highlight w:val="none"/>
          <w:lang w:val="en-US" w:eastAsia="en-US"/>
        </w:rPr>
      </w:pPr>
      <w:r>
        <w:rPr>
          <w:rFonts w:hint="default" w:ascii="黑体" w:hAnsi="黑体" w:eastAsia="黑体"/>
          <w:szCs w:val="22"/>
          <w:highlight w:val="none"/>
          <w:lang w:val="en-US" w:eastAsia="en-US"/>
        </w:rPr>
        <w:t>4.2 人员配置</w:t>
      </w:r>
    </w:p>
    <w:p>
      <w:pPr>
        <w:pStyle w:val="169"/>
        <w:tabs>
          <w:tab w:val="center" w:pos="4201"/>
          <w:tab w:val="right" w:leader="dot" w:pos="9298"/>
        </w:tabs>
        <w:spacing w:line="360" w:lineRule="exact"/>
        <w:ind w:firstLine="420"/>
        <w:rPr>
          <w:rFonts w:hint="eastAsia" w:ascii="Times New Roman" w:hAnsi="Times New Roman" w:eastAsia="宋体" w:cs="Times New Roman"/>
          <w:sz w:val="21"/>
          <w:szCs w:val="21"/>
          <w:highlight w:val="none"/>
          <w:shd w:val="clear" w:color="auto" w:fill="auto"/>
          <w:lang w:val="en-US" w:eastAsia="en-US" w:bidi="ar-SA"/>
        </w:rPr>
      </w:pPr>
      <w:r>
        <w:rPr>
          <w:rFonts w:hint="default" w:ascii="Times New Roman" w:hAnsi="Times New Roman" w:eastAsia="宋体" w:cs="Times New Roman"/>
          <w:sz w:val="21"/>
          <w:szCs w:val="21"/>
          <w:highlight w:val="none"/>
          <w:shd w:val="clear" w:color="auto" w:fill="auto"/>
          <w:lang w:val="en-US" w:eastAsia="en-US" w:bidi="ar-SA"/>
        </w:rPr>
        <w:t>神经内科应配备结构合理的专业团队，包括医师、护理人员及相关的辅助检查与康复治疗技术人员。</w:t>
      </w:r>
    </w:p>
    <w:p>
      <w:pPr>
        <w:pStyle w:val="16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before="0" w:beforeLines="50" w:after="0" w:afterLines="50" w:line="360" w:lineRule="exact"/>
        <w:ind w:left="420" w:leftChars="0" w:hanging="420" w:hangingChars="200"/>
        <w:textAlignment w:val="auto"/>
        <w:rPr>
          <w:rFonts w:hint="default" w:ascii="Times New Roman" w:hAnsi="Times New Roman" w:eastAsia="宋体" w:cs="Times New Roman"/>
          <w:sz w:val="21"/>
          <w:szCs w:val="21"/>
          <w:highlight w:val="none"/>
          <w:shd w:val="clear" w:color="auto" w:fill="auto"/>
          <w:lang w:val="en-US" w:eastAsia="en-US" w:bidi="ar-SA"/>
        </w:rPr>
      </w:pPr>
      <w:r>
        <w:rPr>
          <w:rFonts w:hint="default" w:ascii="黑体" w:hAnsi="黑体" w:eastAsia="黑体" w:cs="Times New Roman"/>
          <w:sz w:val="21"/>
          <w:szCs w:val="22"/>
          <w:highlight w:val="none"/>
          <w:lang w:val="en-US" w:eastAsia="en-US" w:bidi="ar-SA"/>
        </w:rPr>
        <w:t>4.2.1 科室负责人</w:t>
      </w:r>
      <w:r>
        <w:rPr>
          <w:rFonts w:hint="default" w:ascii="Times New Roman" w:hAnsi="Times New Roman" w:eastAsia="宋体" w:cs="Times New Roman"/>
          <w:sz w:val="21"/>
          <w:szCs w:val="21"/>
          <w:highlight w:val="none"/>
          <w:shd w:val="clear" w:color="auto" w:fill="auto"/>
          <w:lang w:val="en-US" w:eastAsia="en-US" w:bidi="ar-SA"/>
        </w:rPr>
        <w:br w:type="textWrapping"/>
      </w:r>
      <w:r>
        <w:rPr>
          <w:rFonts w:hint="default" w:ascii="Times New Roman" w:hAnsi="Times New Roman" w:eastAsia="宋体" w:cs="Times New Roman"/>
          <w:sz w:val="21"/>
          <w:szCs w:val="21"/>
          <w:highlight w:val="none"/>
          <w:shd w:val="clear" w:color="auto" w:fill="auto"/>
          <w:lang w:val="en-US" w:eastAsia="en-US" w:bidi="ar-SA"/>
        </w:rPr>
        <w:t>宜由具备高级职称的神经内科专科医师担任，并需掌握一定的精神科疾病基础知识。</w:t>
      </w:r>
    </w:p>
    <w:p>
      <w:pPr>
        <w:pStyle w:val="169"/>
        <w:keepNext w:val="0"/>
        <w:keepLines w:val="0"/>
        <w:pageBreakBefore w:val="0"/>
        <w:widowControl/>
        <w:tabs>
          <w:tab w:val="center" w:pos="4201"/>
          <w:tab w:val="right" w:leader="dot" w:pos="9298"/>
        </w:tabs>
        <w:kinsoku/>
        <w:wordWrap/>
        <w:overflowPunct/>
        <w:topLinePunct w:val="0"/>
        <w:bidi w:val="0"/>
        <w:adjustRightInd/>
        <w:snapToGrid/>
        <w:spacing w:line="360" w:lineRule="exact"/>
        <w:ind w:left="420" w:leftChars="0" w:hanging="420" w:hangingChars="200"/>
        <w:jc w:val="left"/>
        <w:textAlignment w:val="auto"/>
        <w:rPr>
          <w:rFonts w:hint="default" w:ascii="Times New Roman" w:hAnsi="Times New Roman" w:eastAsia="宋体" w:cs="Times New Roman"/>
          <w:sz w:val="21"/>
          <w:szCs w:val="21"/>
          <w:highlight w:val="none"/>
          <w:shd w:val="clear" w:color="auto" w:fill="auto"/>
          <w:lang w:val="en-US" w:eastAsia="en-US" w:bidi="ar-SA"/>
        </w:rPr>
      </w:pPr>
      <w:r>
        <w:rPr>
          <w:rFonts w:hint="default" w:ascii="黑体" w:hAnsi="黑体" w:eastAsia="黑体" w:cs="Times New Roman"/>
          <w:sz w:val="21"/>
          <w:szCs w:val="22"/>
          <w:highlight w:val="none"/>
          <w:lang w:val="en-US" w:eastAsia="en-US" w:bidi="ar-SA"/>
        </w:rPr>
        <w:t>4.2.2 医师团队</w:t>
      </w:r>
      <w:r>
        <w:rPr>
          <w:rFonts w:hint="default" w:ascii="Times New Roman" w:hAnsi="Times New Roman" w:eastAsia="宋体" w:cs="Times New Roman"/>
          <w:sz w:val="21"/>
          <w:szCs w:val="21"/>
          <w:highlight w:val="none"/>
          <w:shd w:val="clear" w:color="auto" w:fill="auto"/>
          <w:lang w:val="en-US" w:eastAsia="en-US" w:bidi="ar-SA"/>
        </w:rPr>
        <w:br w:type="textWrapping"/>
      </w:r>
      <w:r>
        <w:rPr>
          <w:rFonts w:hint="default" w:ascii="Times New Roman" w:hAnsi="Times New Roman" w:eastAsia="宋体" w:cs="Times New Roman"/>
          <w:sz w:val="21"/>
          <w:szCs w:val="21"/>
          <w:highlight w:val="none"/>
          <w:shd w:val="clear" w:color="auto" w:fill="auto"/>
          <w:lang w:val="en-US" w:eastAsia="en-US" w:bidi="ar-SA"/>
        </w:rPr>
        <w:t>应建立涵盖高、中、初级职称的合理梯队，保障24小时应诊与急救值班需求。鼓励配备具有精神科临床经验的神经内科医师或具备神经科背景的精神科医师[13]。</w:t>
      </w:r>
    </w:p>
    <w:p>
      <w:pPr>
        <w:keepNext w:val="0"/>
        <w:keepLines w:val="0"/>
        <w:pageBreakBefore w:val="0"/>
        <w:widowControl/>
        <w:kinsoku/>
        <w:wordWrap/>
        <w:overflowPunct/>
        <w:topLinePunct w:val="0"/>
        <w:autoSpaceDE/>
        <w:autoSpaceDN/>
        <w:bidi w:val="0"/>
        <w:adjustRightInd/>
        <w:snapToGrid/>
        <w:spacing w:after="0" w:line="360" w:lineRule="exact"/>
        <w:ind w:left="420" w:hanging="420" w:hangingChars="200"/>
        <w:jc w:val="left"/>
        <w:textAlignment w:val="auto"/>
        <w:rPr>
          <w:rFonts w:hint="default" w:ascii="Times New Roman" w:hAnsi="Times New Roman" w:eastAsia="宋体" w:cs="Times New Roman"/>
          <w:color w:val="000000"/>
          <w:sz w:val="21"/>
          <w:szCs w:val="22"/>
          <w:highlight w:val="none"/>
          <w:lang w:val="en-US" w:eastAsia="en-US" w:bidi="ar-SA"/>
        </w:rPr>
      </w:pPr>
      <w:r>
        <w:rPr>
          <w:rFonts w:hint="default" w:ascii="黑体" w:hAnsi="黑体" w:eastAsia="黑体" w:cs="Times New Roman"/>
          <w:sz w:val="21"/>
          <w:szCs w:val="22"/>
          <w:highlight w:val="none"/>
          <w:lang w:val="en-US" w:eastAsia="en-US" w:bidi="ar-SA"/>
        </w:rPr>
        <w:t>4.2.3 护理团队</w:t>
      </w:r>
      <w:r>
        <w:rPr>
          <w:rFonts w:hint="default" w:ascii="Times New Roman" w:hAnsi="Times New Roman" w:eastAsia="宋体" w:cs="Times New Roman"/>
          <w:sz w:val="21"/>
          <w:szCs w:val="21"/>
          <w:highlight w:val="none"/>
          <w:shd w:val="clear" w:color="auto" w:fill="auto"/>
          <w:lang w:val="en-US" w:eastAsia="en-US" w:bidi="ar-SA"/>
        </w:rPr>
        <w:br w:type="textWrapping"/>
      </w:r>
      <w:r>
        <w:rPr>
          <w:rFonts w:hint="default" w:ascii="Times New Roman" w:hAnsi="Times New Roman" w:eastAsia="宋体" w:cs="Times New Roman"/>
          <w:color w:val="000000"/>
          <w:sz w:val="21"/>
          <w:szCs w:val="22"/>
          <w:highlight w:val="none"/>
          <w:lang w:val="en-US" w:eastAsia="en-US" w:bidi="ar-SA"/>
        </w:rPr>
        <w:t>应根据床位数配备足额的护士。护理人员必须接受精神卫生、精神科护理及安全管理等专项培训。</w:t>
      </w:r>
    </w:p>
    <w:p>
      <w:pPr>
        <w:keepNext w:val="0"/>
        <w:keepLines w:val="0"/>
        <w:pageBreakBefore w:val="0"/>
        <w:widowControl/>
        <w:kinsoku/>
        <w:wordWrap/>
        <w:overflowPunct/>
        <w:topLinePunct w:val="0"/>
        <w:bidi w:val="0"/>
        <w:adjustRightInd/>
        <w:snapToGrid/>
        <w:ind w:left="420" w:hanging="420" w:hangingChars="200"/>
        <w:jc w:val="left"/>
        <w:textAlignment w:val="auto"/>
        <w:rPr>
          <w:rFonts w:hint="default" w:ascii="Times New Roman" w:hAnsi="Times New Roman" w:eastAsia="宋体" w:cs="Times New Roman"/>
          <w:color w:val="000000"/>
          <w:sz w:val="21"/>
          <w:szCs w:val="22"/>
          <w:highlight w:val="none"/>
          <w:lang w:val="en-US" w:eastAsia="en-US" w:bidi="ar-SA"/>
        </w:rPr>
      </w:pPr>
      <w:r>
        <w:rPr>
          <w:rFonts w:hint="default" w:ascii="黑体" w:hAnsi="黑体" w:eastAsia="黑体" w:cs="Times New Roman"/>
          <w:sz w:val="21"/>
          <w:szCs w:val="22"/>
          <w:highlight w:val="none"/>
          <w:lang w:val="en-US" w:eastAsia="en-US" w:bidi="ar-SA"/>
        </w:rPr>
        <w:t>4.2.4 辅助技术人员</w:t>
      </w:r>
      <w:r>
        <w:rPr>
          <w:rFonts w:hint="default" w:ascii="Times New Roman" w:hAnsi="Times New Roman" w:eastAsia="宋体" w:cs="Times New Roman"/>
          <w:sz w:val="21"/>
          <w:szCs w:val="21"/>
          <w:highlight w:val="none"/>
          <w:shd w:val="clear" w:color="auto" w:fill="auto"/>
          <w:lang w:val="en-US" w:eastAsia="en-US" w:bidi="ar-SA"/>
        </w:rPr>
        <w:br w:type="textWrapping"/>
      </w:r>
      <w:r>
        <w:rPr>
          <w:rFonts w:hint="default" w:ascii="Times New Roman" w:hAnsi="Times New Roman" w:eastAsia="宋体" w:cs="Times New Roman"/>
          <w:color w:val="000000"/>
          <w:sz w:val="21"/>
          <w:szCs w:val="22"/>
          <w:highlight w:val="none"/>
          <w:lang w:val="en-US" w:eastAsia="en-US" w:bidi="ar-SA"/>
        </w:rPr>
        <w:t>应根据科室开展的业务需求，配备相应的辅助检查与康复治疗技术人员。</w:t>
      </w:r>
    </w:p>
    <w:p>
      <w:pPr>
        <w:keepNext w:val="0"/>
        <w:keepLines w:val="0"/>
        <w:pageBreakBefore w:val="0"/>
        <w:widowControl/>
        <w:kinsoku/>
        <w:wordWrap/>
        <w:overflowPunct/>
        <w:topLinePunct w:val="0"/>
        <w:bidi w:val="0"/>
        <w:adjustRightInd/>
        <w:snapToGrid/>
        <w:jc w:val="left"/>
        <w:textAlignment w:val="auto"/>
        <w:rPr>
          <w:rFonts w:hint="default" w:ascii="黑体" w:hAnsi="黑体" w:eastAsia="黑体" w:cs="Times New Roman"/>
          <w:sz w:val="21"/>
          <w:szCs w:val="22"/>
          <w:highlight w:val="none"/>
          <w:lang w:val="en-US" w:eastAsia="en-US" w:bidi="ar-SA"/>
        </w:rPr>
      </w:pPr>
      <w:r>
        <w:rPr>
          <w:rFonts w:hint="default" w:ascii="黑体" w:hAnsi="黑体" w:eastAsia="黑体" w:cs="Times New Roman"/>
          <w:sz w:val="21"/>
          <w:szCs w:val="22"/>
          <w:highlight w:val="none"/>
          <w:lang w:val="en-US" w:eastAsia="en-US" w:bidi="ar-SA"/>
        </w:rPr>
        <w:t>4.2.5 编制与人员管理</w:t>
      </w:r>
    </w:p>
    <w:p>
      <w:pPr>
        <w:keepNext w:val="0"/>
        <w:keepLines w:val="0"/>
        <w:pageBreakBefore w:val="0"/>
        <w:widowControl/>
        <w:kinsoku/>
        <w:wordWrap/>
        <w:overflowPunct/>
        <w:topLinePunct w:val="0"/>
        <w:bidi w:val="0"/>
        <w:adjustRightInd/>
        <w:snapToGrid/>
        <w:ind w:firstLine="420" w:firstLineChars="200"/>
        <w:jc w:val="left"/>
        <w:textAlignment w:val="auto"/>
        <w:rPr>
          <w:rFonts w:hint="default" w:ascii="Times New Roman" w:hAnsi="Times New Roman" w:eastAsia="宋体" w:cs="Times New Roman"/>
          <w:sz w:val="21"/>
          <w:szCs w:val="21"/>
          <w:highlight w:val="none"/>
          <w:shd w:val="clear" w:color="auto" w:fill="auto"/>
          <w:lang w:val="en-US" w:eastAsia="en-US" w:bidi="ar-SA"/>
        </w:rPr>
      </w:pPr>
      <w:r>
        <w:rPr>
          <w:rFonts w:hint="eastAsia" w:ascii="Times New Roman" w:hAnsi="Times New Roman" w:eastAsia="宋体" w:cs="Times New Roman"/>
          <w:sz w:val="21"/>
          <w:szCs w:val="21"/>
          <w:highlight w:val="none"/>
          <w:shd w:val="clear" w:color="auto" w:fill="auto"/>
          <w:lang w:val="en-US" w:eastAsia="zh-CN" w:bidi="ar-SA"/>
        </w:rPr>
        <w:t>（1）</w:t>
      </w:r>
      <w:r>
        <w:rPr>
          <w:rFonts w:hint="default" w:ascii="Times New Roman" w:hAnsi="Times New Roman" w:eastAsia="宋体" w:cs="Times New Roman"/>
          <w:sz w:val="21"/>
          <w:szCs w:val="21"/>
          <w:highlight w:val="none"/>
          <w:shd w:val="clear" w:color="auto" w:fill="auto"/>
          <w:lang w:val="en-US" w:eastAsia="en-US" w:bidi="ar-SA"/>
        </w:rPr>
        <w:t>人员编制及医护比、床护比应严格执行国家及行业相关标准[12]。</w:t>
      </w:r>
    </w:p>
    <w:p>
      <w:pPr>
        <w:keepNext w:val="0"/>
        <w:keepLines w:val="0"/>
        <w:pageBreakBefore w:val="0"/>
        <w:widowControl/>
        <w:kinsoku/>
        <w:wordWrap/>
        <w:overflowPunct/>
        <w:topLinePunct w:val="0"/>
        <w:bidi w:val="0"/>
        <w:adjustRightInd/>
        <w:snapToGrid/>
        <w:ind w:firstLine="420" w:firstLineChars="200"/>
        <w:jc w:val="left"/>
        <w:textAlignment w:val="auto"/>
        <w:rPr>
          <w:rFonts w:hint="default" w:ascii="Times New Roman" w:hAnsi="Times New Roman" w:eastAsia="宋体" w:cs="Times New Roman"/>
          <w:sz w:val="21"/>
          <w:szCs w:val="21"/>
          <w:highlight w:val="none"/>
          <w:shd w:val="clear" w:color="auto" w:fill="auto"/>
          <w:lang w:val="en-US" w:eastAsia="en-US" w:bidi="ar-SA"/>
        </w:rPr>
      </w:pPr>
      <w:r>
        <w:rPr>
          <w:rFonts w:hint="eastAsia" w:ascii="Times New Roman" w:hAnsi="Times New Roman" w:eastAsia="宋体" w:cs="Times New Roman"/>
          <w:sz w:val="21"/>
          <w:szCs w:val="21"/>
          <w:highlight w:val="none"/>
          <w:shd w:val="clear" w:color="auto" w:fill="auto"/>
          <w:lang w:val="en-US" w:eastAsia="zh-CN" w:bidi="ar-SA"/>
        </w:rPr>
        <w:t>（2）</w:t>
      </w:r>
      <w:r>
        <w:rPr>
          <w:rFonts w:hint="default" w:ascii="Times New Roman" w:hAnsi="Times New Roman" w:eastAsia="宋体" w:cs="Times New Roman"/>
          <w:sz w:val="21"/>
          <w:szCs w:val="21"/>
          <w:highlight w:val="none"/>
          <w:shd w:val="clear" w:color="auto" w:fill="auto"/>
          <w:lang w:val="en-US" w:eastAsia="en-US" w:bidi="ar-SA"/>
        </w:rPr>
        <w:t>建立人员资质准入与定期考核机制，确保执业资格和专业胜任力。</w:t>
      </w:r>
    </w:p>
    <w:p>
      <w:pPr>
        <w:keepNext w:val="0"/>
        <w:keepLines w:val="0"/>
        <w:pageBreakBefore w:val="0"/>
        <w:widowControl/>
        <w:kinsoku/>
        <w:wordWrap/>
        <w:overflowPunct/>
        <w:topLinePunct w:val="0"/>
        <w:bidi w:val="0"/>
        <w:adjustRightInd/>
        <w:snapToGrid/>
        <w:ind w:firstLine="420" w:firstLineChars="200"/>
        <w:jc w:val="left"/>
        <w:textAlignment w:val="auto"/>
        <w:rPr>
          <w:rFonts w:hint="default" w:ascii="Times New Roman" w:hAnsi="Times New Roman" w:eastAsia="宋体" w:cs="Times New Roman"/>
          <w:sz w:val="21"/>
          <w:szCs w:val="21"/>
          <w:highlight w:val="none"/>
          <w:shd w:val="clear" w:color="auto" w:fill="auto"/>
          <w:lang w:val="en-US" w:eastAsia="en-US" w:bidi="ar-SA"/>
        </w:rPr>
      </w:pPr>
      <w:r>
        <w:rPr>
          <w:rFonts w:hint="eastAsia" w:ascii="Times New Roman" w:hAnsi="Times New Roman" w:eastAsia="宋体" w:cs="Times New Roman"/>
          <w:sz w:val="21"/>
          <w:szCs w:val="21"/>
          <w:highlight w:val="none"/>
          <w:shd w:val="clear" w:color="auto" w:fill="auto"/>
          <w:lang w:val="en-US" w:eastAsia="zh-CN" w:bidi="ar-SA"/>
        </w:rPr>
        <w:t>（3）</w:t>
      </w:r>
      <w:r>
        <w:rPr>
          <w:rFonts w:hint="default" w:ascii="Times New Roman" w:hAnsi="Times New Roman" w:eastAsia="宋体" w:cs="Times New Roman"/>
          <w:sz w:val="21"/>
          <w:szCs w:val="21"/>
          <w:highlight w:val="none"/>
          <w:shd w:val="clear" w:color="auto" w:fill="auto"/>
          <w:lang w:val="en-US" w:eastAsia="en-US" w:bidi="ar-SA"/>
        </w:rPr>
        <w:t>制定持续的人才培养计划，定期开展神经病学与精神病学的新知识、新技术交叉培训[13]。</w:t>
      </w:r>
    </w:p>
    <w:p>
      <w:pPr>
        <w:pStyle w:val="169"/>
        <w:keepNext w:val="0"/>
        <w:keepLines w:val="0"/>
        <w:pageBreakBefore w:val="0"/>
        <w:widowControl/>
        <w:kinsoku/>
        <w:wordWrap/>
        <w:overflowPunct/>
        <w:topLinePunct w:val="0"/>
        <w:autoSpaceDE w:val="0"/>
        <w:autoSpaceDN w:val="0"/>
        <w:bidi w:val="0"/>
        <w:adjustRightInd/>
        <w:snapToGrid/>
        <w:spacing w:before="120" w:beforeLines="50" w:after="120" w:afterLines="50" w:line="360" w:lineRule="exact"/>
        <w:ind w:firstLine="0" w:firstLineChars="0"/>
        <w:textAlignment w:val="auto"/>
        <w:outlineLvl w:val="9"/>
        <w:rPr>
          <w:rFonts w:hint="default" w:ascii="黑体" w:hAnsi="黑体" w:eastAsia="黑体"/>
          <w:szCs w:val="22"/>
          <w:highlight w:val="none"/>
          <w:lang w:val="en-US" w:eastAsia="en-US"/>
        </w:rPr>
      </w:pPr>
      <w:r>
        <w:rPr>
          <w:rFonts w:hint="default" w:ascii="黑体" w:hAnsi="黑体" w:eastAsia="黑体"/>
          <w:szCs w:val="22"/>
          <w:highlight w:val="none"/>
          <w:lang w:val="en-US" w:eastAsia="en-US"/>
        </w:rPr>
        <w:t>4.3 管理制度</w:t>
      </w:r>
    </w:p>
    <w:p>
      <w:pPr>
        <w:keepNext w:val="0"/>
        <w:keepLines w:val="0"/>
        <w:pageBreakBefore w:val="0"/>
        <w:widowControl/>
        <w:kinsoku/>
        <w:wordWrap/>
        <w:overflowPunct/>
        <w:topLinePunct w:val="0"/>
        <w:autoSpaceDE/>
        <w:autoSpaceDN/>
        <w:bidi w:val="0"/>
        <w:adjustRightInd/>
        <w:snapToGrid/>
        <w:spacing w:before="0" w:beforeLines="50" w:after="0" w:afterLines="50" w:line="360" w:lineRule="exact"/>
        <w:textAlignment w:val="auto"/>
        <w:rPr>
          <w:rFonts w:hint="eastAsia" w:ascii="黑体" w:hAnsi="黑体" w:eastAsia="黑体" w:cs="黑体"/>
          <w:sz w:val="21"/>
          <w:szCs w:val="21"/>
          <w:highlight w:val="none"/>
          <w:shd w:val="clear" w:color="auto" w:fill="auto"/>
          <w:lang w:val="en-US" w:eastAsia="en-US" w:bidi="ar-SA"/>
        </w:rPr>
      </w:pPr>
      <w:r>
        <w:rPr>
          <w:rFonts w:hint="eastAsia" w:ascii="黑体" w:hAnsi="黑体" w:eastAsia="黑体" w:cs="黑体"/>
          <w:sz w:val="21"/>
          <w:szCs w:val="21"/>
          <w:highlight w:val="none"/>
          <w:shd w:val="clear" w:color="auto" w:fill="auto"/>
          <w:lang w:val="en-US" w:eastAsia="en-US" w:bidi="ar-SA"/>
        </w:rPr>
        <w:t>4.3.1 核心工作流程</w:t>
      </w:r>
    </w:p>
    <w:p>
      <w:pPr>
        <w:ind w:firstLine="420" w:firstLineChars="200"/>
        <w:rPr>
          <w:rFonts w:hint="eastAsia" w:ascii="Times New Roman" w:hAnsi="Times New Roman" w:eastAsia="宋体" w:cs="Times New Roman"/>
          <w:sz w:val="21"/>
          <w:szCs w:val="21"/>
          <w:highlight w:val="none"/>
          <w:shd w:val="clear" w:color="auto" w:fill="auto"/>
          <w:lang w:val="en-US" w:eastAsia="en-US" w:bidi="ar-SA"/>
        </w:rPr>
      </w:pPr>
      <w:r>
        <w:rPr>
          <w:rFonts w:hint="eastAsia" w:ascii="Times New Roman" w:hAnsi="Times New Roman" w:eastAsia="宋体" w:cs="Times New Roman"/>
          <w:sz w:val="21"/>
          <w:szCs w:val="21"/>
          <w:highlight w:val="none"/>
          <w:shd w:val="clear" w:color="auto" w:fill="auto"/>
          <w:lang w:val="en-US" w:eastAsia="en-US" w:bidi="ar-SA"/>
        </w:rPr>
        <w:t>制定科学的规章制度与工作流程，包括门诊接诊、会诊转诊、住院收治、科室间转科，以及危急重症患者处置预案，保障医疗工作有序衔接。</w:t>
      </w:r>
    </w:p>
    <w:p>
      <w:pPr>
        <w:keepNext w:val="0"/>
        <w:keepLines w:val="0"/>
        <w:pageBreakBefore w:val="0"/>
        <w:widowControl/>
        <w:kinsoku/>
        <w:wordWrap/>
        <w:overflowPunct/>
        <w:topLinePunct w:val="0"/>
        <w:autoSpaceDE/>
        <w:autoSpaceDN/>
        <w:bidi w:val="0"/>
        <w:adjustRightInd/>
        <w:snapToGrid/>
        <w:spacing w:before="0" w:beforeLines="50" w:after="0" w:afterLines="50" w:line="360" w:lineRule="exact"/>
        <w:textAlignment w:val="auto"/>
        <w:rPr>
          <w:rFonts w:hint="eastAsia" w:ascii="黑体" w:hAnsi="黑体" w:eastAsia="黑体" w:cs="黑体"/>
          <w:sz w:val="21"/>
          <w:szCs w:val="21"/>
          <w:highlight w:val="none"/>
          <w:shd w:val="clear" w:color="auto" w:fill="auto"/>
          <w:lang w:val="en-US" w:eastAsia="en-US" w:bidi="ar-SA"/>
        </w:rPr>
      </w:pPr>
      <w:r>
        <w:rPr>
          <w:rFonts w:hint="eastAsia" w:ascii="黑体" w:hAnsi="黑体" w:eastAsia="黑体" w:cs="黑体"/>
          <w:sz w:val="21"/>
          <w:szCs w:val="21"/>
          <w:highlight w:val="none"/>
          <w:shd w:val="clear" w:color="auto" w:fill="auto"/>
          <w:lang w:val="en-US" w:eastAsia="en-US" w:bidi="ar-SA"/>
        </w:rPr>
        <w:t>4.3.2 跨学科协同机制</w:t>
      </w:r>
    </w:p>
    <w:p>
      <w:pPr>
        <w:pStyle w:val="31"/>
        <w:keepNext w:val="0"/>
        <w:keepLines w:val="0"/>
        <w:widowControl/>
        <w:suppressLineNumbers w:val="0"/>
        <w:shd w:val="clear" w:fill="FFFFFF"/>
        <w:spacing w:before="0" w:beforeAutospacing="1" w:after="135" w:afterAutospacing="0" w:line="240" w:lineRule="auto"/>
        <w:ind w:left="0" w:right="0" w:firstLine="420" w:firstLineChars="200"/>
        <w:rPr>
          <w:rFonts w:hint="eastAsia" w:ascii="Times New Roman" w:hAnsi="Times New Roman" w:eastAsia="宋体" w:cs="Times New Roman"/>
          <w:sz w:val="21"/>
          <w:szCs w:val="21"/>
          <w:highlight w:val="none"/>
          <w:shd w:val="clear" w:color="auto" w:fill="auto"/>
          <w:lang w:val="en-US" w:eastAsia="en-US" w:bidi="ar-SA"/>
        </w:rPr>
      </w:pPr>
      <w:r>
        <w:rPr>
          <w:rFonts w:hint="eastAsia" w:ascii="Times New Roman" w:hAnsi="Times New Roman" w:eastAsia="宋体" w:cs="Times New Roman"/>
          <w:sz w:val="21"/>
          <w:szCs w:val="21"/>
          <w:highlight w:val="none"/>
          <w:shd w:val="clear" w:color="auto" w:fill="auto"/>
          <w:lang w:val="en-US" w:eastAsia="en-US" w:bidi="ar-SA"/>
        </w:rPr>
        <w:t>建立神经内科与精神科、心理科等相关科室的协同工作机制[15]。定期召开跨学科疑难复杂病例讨论会，制定综合诊疗方案[16]。</w:t>
      </w:r>
    </w:p>
    <w:p>
      <w:pPr>
        <w:keepNext w:val="0"/>
        <w:keepLines w:val="0"/>
        <w:pageBreakBefore w:val="0"/>
        <w:widowControl/>
        <w:kinsoku/>
        <w:wordWrap/>
        <w:overflowPunct/>
        <w:topLinePunct w:val="0"/>
        <w:autoSpaceDE/>
        <w:autoSpaceDN/>
        <w:bidi w:val="0"/>
        <w:adjustRightInd/>
        <w:snapToGrid/>
        <w:spacing w:before="0" w:beforeLines="50" w:after="0" w:afterLines="50" w:line="360" w:lineRule="exact"/>
        <w:textAlignment w:val="auto"/>
        <w:rPr>
          <w:rFonts w:hint="eastAsia" w:ascii="黑体" w:hAnsi="黑体" w:eastAsia="黑体" w:cs="黑体"/>
          <w:sz w:val="21"/>
          <w:szCs w:val="21"/>
          <w:highlight w:val="none"/>
          <w:shd w:val="clear" w:color="auto" w:fill="auto"/>
          <w:lang w:val="en-US" w:eastAsia="en-US" w:bidi="ar-SA"/>
        </w:rPr>
      </w:pPr>
      <w:r>
        <w:rPr>
          <w:rFonts w:hint="eastAsia" w:ascii="黑体" w:hAnsi="黑体" w:eastAsia="黑体" w:cs="黑体"/>
          <w:sz w:val="21"/>
          <w:szCs w:val="21"/>
          <w:highlight w:val="none"/>
          <w:shd w:val="clear" w:color="auto" w:fill="auto"/>
          <w:lang w:val="en-US" w:eastAsia="en-US" w:bidi="ar-SA"/>
        </w:rPr>
        <w:t>4.3.3 信息共享与沟通</w:t>
      </w:r>
    </w:p>
    <w:p>
      <w:pPr>
        <w:pStyle w:val="31"/>
        <w:keepNext w:val="0"/>
        <w:keepLines w:val="0"/>
        <w:widowControl/>
        <w:suppressLineNumbers w:val="0"/>
        <w:shd w:val="clear" w:fill="FFFFFF"/>
        <w:spacing w:before="0" w:beforeAutospacing="1" w:after="135" w:afterAutospacing="0" w:line="240" w:lineRule="auto"/>
        <w:ind w:left="0" w:right="0" w:firstLine="420" w:firstLineChars="200"/>
        <w:rPr>
          <w:rFonts w:hint="eastAsia" w:ascii="Times New Roman" w:hAnsi="Times New Roman" w:eastAsia="宋体" w:cs="Times New Roman"/>
          <w:sz w:val="21"/>
          <w:szCs w:val="21"/>
          <w:highlight w:val="none"/>
          <w:shd w:val="clear" w:color="auto" w:fill="auto"/>
          <w:lang w:val="en-US" w:eastAsia="en-US" w:bidi="ar-SA"/>
        </w:rPr>
      </w:pPr>
      <w:r>
        <w:rPr>
          <w:rFonts w:hint="eastAsia" w:ascii="Times New Roman" w:hAnsi="Times New Roman" w:eastAsia="宋体" w:cs="Times New Roman"/>
          <w:sz w:val="21"/>
          <w:szCs w:val="21"/>
          <w:highlight w:val="none"/>
          <w:shd w:val="clear" w:color="auto" w:fill="auto"/>
          <w:lang w:val="en-US" w:eastAsia="en-US" w:bidi="ar-SA"/>
        </w:rPr>
        <w:t>建立联合门诊及电子化沟通渠道（如电子病历系统会诊模块、信息化办公平台等），实现患者病情与诊治计划的实时共享与高效沟通[16]。</w:t>
      </w:r>
    </w:p>
    <w:p>
      <w:pPr>
        <w:keepNext w:val="0"/>
        <w:keepLines w:val="0"/>
        <w:pageBreakBefore w:val="0"/>
        <w:widowControl/>
        <w:kinsoku/>
        <w:wordWrap/>
        <w:overflowPunct/>
        <w:topLinePunct w:val="0"/>
        <w:autoSpaceDE/>
        <w:autoSpaceDN/>
        <w:bidi w:val="0"/>
        <w:adjustRightInd/>
        <w:snapToGrid/>
        <w:spacing w:before="0" w:beforeLines="50" w:after="0" w:afterLines="50" w:line="360" w:lineRule="exact"/>
        <w:textAlignment w:val="auto"/>
        <w:rPr>
          <w:rFonts w:hint="eastAsia" w:ascii="黑体" w:hAnsi="黑体" w:eastAsia="黑体" w:cs="黑体"/>
          <w:sz w:val="21"/>
          <w:szCs w:val="21"/>
          <w:highlight w:val="none"/>
          <w:shd w:val="clear" w:color="auto" w:fill="auto"/>
          <w:lang w:val="en-US" w:eastAsia="en-US" w:bidi="ar-SA"/>
        </w:rPr>
      </w:pPr>
      <w:r>
        <w:rPr>
          <w:rFonts w:hint="eastAsia" w:ascii="黑体" w:hAnsi="黑体" w:eastAsia="黑体" w:cs="黑体"/>
          <w:sz w:val="21"/>
          <w:szCs w:val="21"/>
          <w:highlight w:val="none"/>
          <w:shd w:val="clear" w:color="auto" w:fill="auto"/>
          <w:lang w:val="en-US" w:eastAsia="en-US" w:bidi="ar-SA"/>
        </w:rPr>
        <w:t>4.3.4 质量与安全管理</w:t>
      </w:r>
    </w:p>
    <w:p>
      <w:pPr>
        <w:pStyle w:val="31"/>
        <w:keepNext w:val="0"/>
        <w:keepLines w:val="0"/>
        <w:widowControl/>
        <w:suppressLineNumbers w:val="0"/>
        <w:shd w:val="clear" w:fill="FFFFFF"/>
        <w:spacing w:before="0" w:beforeAutospacing="1" w:after="0" w:afterAutospacing="0" w:line="240" w:lineRule="auto"/>
        <w:ind w:left="0" w:right="0" w:firstLine="420" w:firstLineChars="200"/>
        <w:rPr>
          <w:rFonts w:hint="eastAsia" w:ascii="Times New Roman" w:hAnsi="Times New Roman" w:eastAsia="宋体" w:cs="Times New Roman"/>
          <w:sz w:val="21"/>
          <w:szCs w:val="21"/>
          <w:highlight w:val="none"/>
          <w:shd w:val="clear" w:color="auto" w:fill="auto"/>
          <w:lang w:val="en-US" w:eastAsia="en-US" w:bidi="ar-SA"/>
        </w:rPr>
      </w:pPr>
      <w:r>
        <w:rPr>
          <w:rFonts w:hint="eastAsia" w:ascii="Times New Roman" w:hAnsi="Times New Roman" w:eastAsia="宋体" w:cs="Times New Roman"/>
          <w:sz w:val="21"/>
          <w:szCs w:val="21"/>
          <w:highlight w:val="none"/>
          <w:shd w:val="clear" w:color="auto" w:fill="auto"/>
          <w:lang w:val="en-US" w:eastAsia="en-US" w:bidi="ar-SA"/>
        </w:rPr>
        <w:t>设置专人负责医疗质量控制、病历审核及医院感染控制等日常工作。通过完善管理制度，确保与其他部门密切配合，提供连续、全面的医疗服务[17]。</w:t>
      </w:r>
    </w:p>
    <w:p>
      <w:pPr>
        <w:pStyle w:val="168"/>
        <w:numPr>
          <w:ilvl w:val="0"/>
          <w:numId w:val="9"/>
        </w:numPr>
        <w:spacing w:before="240" w:beforeLines="100" w:after="240" w:afterLines="100" w:line="360" w:lineRule="exact"/>
        <w:outlineLvl w:val="0"/>
        <w:rPr>
          <w:rFonts w:hint="default" w:ascii="Times New Roman"/>
          <w:highlight w:val="none"/>
        </w:rPr>
      </w:pPr>
      <w:r>
        <w:rPr>
          <w:rFonts w:hint="default" w:ascii="Times New Roman"/>
          <w:highlight w:val="none"/>
        </w:rPr>
        <w:t>诊疗管理</w:t>
      </w:r>
    </w:p>
    <w:p>
      <w:pPr>
        <w:pStyle w:val="169"/>
        <w:keepNext w:val="0"/>
        <w:keepLines w:val="0"/>
        <w:pageBreakBefore w:val="0"/>
        <w:widowControl/>
        <w:kinsoku/>
        <w:wordWrap/>
        <w:overflowPunct/>
        <w:topLinePunct w:val="0"/>
        <w:autoSpaceDE w:val="0"/>
        <w:autoSpaceDN w:val="0"/>
        <w:bidi w:val="0"/>
        <w:adjustRightInd/>
        <w:snapToGrid/>
        <w:spacing w:before="120" w:beforeLines="50" w:after="120" w:afterLines="50" w:line="360" w:lineRule="exact"/>
        <w:ind w:firstLine="0" w:firstLineChars="0"/>
        <w:textAlignment w:val="auto"/>
        <w:outlineLvl w:val="9"/>
        <w:rPr>
          <w:rFonts w:hint="default" w:ascii="黑体" w:hAnsi="黑体" w:eastAsia="黑体"/>
          <w:szCs w:val="22"/>
          <w:highlight w:val="none"/>
        </w:rPr>
      </w:pPr>
      <w:r>
        <w:rPr>
          <w:rFonts w:hint="default" w:ascii="黑体" w:hAnsi="黑体" w:eastAsia="黑体"/>
          <w:szCs w:val="22"/>
          <w:highlight w:val="none"/>
        </w:rPr>
        <w:t>5.1诊疗模式</w:t>
      </w:r>
    </w:p>
    <w:p>
      <w:pPr>
        <w:pStyle w:val="169"/>
        <w:tabs>
          <w:tab w:val="center" w:pos="4201"/>
          <w:tab w:val="right" w:leader="dot" w:pos="9298"/>
        </w:tabs>
        <w:spacing w:line="360" w:lineRule="exact"/>
        <w:ind w:firstLine="420"/>
        <w:rPr>
          <w:rFonts w:hint="eastAsia" w:ascii="Times New Roman" w:hAnsi="Times New Roman" w:eastAsia="宋体" w:cs="Times New Roman"/>
          <w:color w:val="000000"/>
          <w:sz w:val="21"/>
          <w:szCs w:val="22"/>
          <w:highlight w:val="none"/>
          <w:lang w:val="en-US" w:eastAsia="zh-CN" w:bidi="ar-SA"/>
        </w:rPr>
      </w:pPr>
      <w:r>
        <w:rPr>
          <w:rFonts w:hint="eastAsia" w:ascii="Times New Roman" w:hAnsi="Times New Roman" w:eastAsia="宋体" w:cs="Times New Roman"/>
          <w:color w:val="000000"/>
          <w:sz w:val="21"/>
          <w:szCs w:val="22"/>
          <w:highlight w:val="none"/>
          <w:lang w:val="en-US" w:eastAsia="zh-CN" w:bidi="ar-SA"/>
        </w:rPr>
        <w:t>精神专科医院神经内科应采用以患者为中心、身心统筹的诊疗模式。面对神经精神交叉疾病患 者，倡导“神经内科+精神科”联合诊疗的整合医学模式[7]。</w:t>
      </w:r>
    </w:p>
    <w:p>
      <w:pPr>
        <w:pStyle w:val="169"/>
        <w:tabs>
          <w:tab w:val="center" w:pos="4201"/>
          <w:tab w:val="right" w:leader="dot" w:pos="9298"/>
        </w:tabs>
        <w:spacing w:line="360" w:lineRule="exact"/>
        <w:ind w:firstLine="420"/>
        <w:rPr>
          <w:rFonts w:hint="eastAsia" w:ascii="Times New Roman" w:hAnsi="Times New Roman" w:eastAsia="宋体" w:cs="Times New Roman"/>
          <w:color w:val="000000"/>
          <w:sz w:val="21"/>
          <w:szCs w:val="22"/>
          <w:highlight w:val="none"/>
          <w:lang w:val="en-US" w:eastAsia="zh-CN" w:bidi="ar-SA"/>
        </w:rPr>
      </w:pPr>
      <w:r>
        <w:rPr>
          <w:rFonts w:hint="eastAsia" w:ascii="Times New Roman" w:hAnsi="Times New Roman" w:eastAsia="宋体" w:cs="Times New Roman"/>
          <w:color w:val="000000"/>
          <w:sz w:val="21"/>
          <w:szCs w:val="22"/>
          <w:highlight w:val="none"/>
          <w:lang w:val="en-US" w:eastAsia="zh-CN" w:bidi="ar-SA"/>
        </w:rPr>
        <w:t>具体做法包括：</w:t>
      </w:r>
    </w:p>
    <w:p>
      <w:pPr>
        <w:pStyle w:val="169"/>
        <w:tabs>
          <w:tab w:val="center" w:pos="4201"/>
          <w:tab w:val="right" w:leader="dot" w:pos="9298"/>
        </w:tabs>
        <w:spacing w:line="360" w:lineRule="exact"/>
        <w:ind w:firstLine="420"/>
        <w:rPr>
          <w:rFonts w:hint="eastAsia" w:ascii="Times New Roman" w:hAnsi="Times New Roman" w:eastAsia="宋体" w:cs="Times New Roman"/>
          <w:color w:val="000000"/>
          <w:sz w:val="21"/>
          <w:szCs w:val="22"/>
          <w:highlight w:val="none"/>
          <w:lang w:val="en-US" w:eastAsia="zh-CN" w:bidi="ar-SA"/>
        </w:rPr>
      </w:pPr>
      <w:r>
        <w:rPr>
          <w:rFonts w:hint="eastAsia" w:ascii="Times New Roman" w:cs="Times New Roman"/>
          <w:color w:val="000000"/>
          <w:sz w:val="21"/>
          <w:szCs w:val="22"/>
          <w:highlight w:val="none"/>
          <w:lang w:val="en-US" w:eastAsia="zh-CN" w:bidi="ar-SA"/>
        </w:rPr>
        <w:t>a)</w:t>
      </w:r>
      <w:r>
        <w:rPr>
          <w:rFonts w:hint="eastAsia" w:ascii="Times New Roman" w:hAnsi="Times New Roman" w:eastAsia="宋体" w:cs="Times New Roman"/>
          <w:color w:val="000000"/>
          <w:sz w:val="21"/>
          <w:szCs w:val="22"/>
          <w:highlight w:val="none"/>
          <w:lang w:val="en-US" w:eastAsia="zh-CN" w:bidi="ar-SA"/>
        </w:rPr>
        <w:t>建立神经精神联合门诊或会诊制度。对存在神经系统症状的精神科患者，神经内科医师应及时参与会诊评估；同样，神经内科门诊中如遇患者伴发明显情绪或行为异常，应邀请精神科医师联合评估，从而做到早期识别交叉症状，减少误诊漏诊[2]。</w:t>
      </w:r>
    </w:p>
    <w:p>
      <w:pPr>
        <w:pStyle w:val="169"/>
        <w:tabs>
          <w:tab w:val="center" w:pos="4201"/>
          <w:tab w:val="right" w:leader="dot" w:pos="9298"/>
        </w:tabs>
        <w:spacing w:line="360" w:lineRule="exact"/>
        <w:ind w:firstLine="420"/>
        <w:rPr>
          <w:rFonts w:hint="eastAsia" w:ascii="Times New Roman" w:hAnsi="Times New Roman" w:eastAsia="宋体" w:cs="Times New Roman"/>
          <w:color w:val="000000"/>
          <w:sz w:val="21"/>
          <w:szCs w:val="22"/>
          <w:highlight w:val="none"/>
          <w:lang w:val="en-US" w:eastAsia="zh-CN" w:bidi="ar-SA"/>
        </w:rPr>
      </w:pPr>
      <w:r>
        <w:rPr>
          <w:rFonts w:hint="eastAsia" w:ascii="Times New Roman" w:cs="Times New Roman"/>
          <w:color w:val="000000"/>
          <w:sz w:val="21"/>
          <w:szCs w:val="22"/>
          <w:highlight w:val="none"/>
          <w:lang w:val="en-US" w:eastAsia="zh-CN" w:bidi="ar-SA"/>
        </w:rPr>
        <w:t>b)</w:t>
      </w:r>
      <w:r>
        <w:rPr>
          <w:rFonts w:hint="eastAsia" w:ascii="Times New Roman" w:hAnsi="Times New Roman" w:eastAsia="宋体" w:cs="Times New Roman"/>
          <w:color w:val="000000"/>
          <w:sz w:val="21"/>
          <w:szCs w:val="22"/>
          <w:highlight w:val="none"/>
          <w:lang w:val="en-US" w:eastAsia="zh-CN" w:bidi="ar-SA"/>
        </w:rPr>
        <w:t>实行联合病房管理模式（如具备条件的联合病区）。对于需要住院治疗的神经精神共病患者，可由神经内科和精神科医生共同查房、共同制定治疗计划，护理团队也配备同时掌握两科护理技能的人员，实现住院期间的多学科协同诊疗[7]。</w:t>
      </w:r>
    </w:p>
    <w:p>
      <w:pPr>
        <w:pStyle w:val="169"/>
        <w:tabs>
          <w:tab w:val="center" w:pos="4201"/>
          <w:tab w:val="right" w:leader="dot" w:pos="9298"/>
        </w:tabs>
        <w:spacing w:line="360" w:lineRule="exact"/>
        <w:ind w:firstLine="420"/>
        <w:rPr>
          <w:rFonts w:hint="eastAsia" w:ascii="Times New Roman" w:hAnsi="Times New Roman" w:eastAsia="宋体" w:cs="Times New Roman"/>
          <w:color w:val="000000"/>
          <w:sz w:val="21"/>
          <w:szCs w:val="22"/>
          <w:highlight w:val="none"/>
          <w:lang w:val="en-US" w:eastAsia="zh-CN" w:bidi="ar-SA"/>
        </w:rPr>
      </w:pPr>
      <w:r>
        <w:rPr>
          <w:rFonts w:hint="eastAsia" w:ascii="Times New Roman" w:cs="Times New Roman"/>
          <w:color w:val="000000"/>
          <w:sz w:val="21"/>
          <w:szCs w:val="22"/>
          <w:highlight w:val="none"/>
          <w:lang w:val="en-US" w:eastAsia="zh-CN" w:bidi="ar-SA"/>
        </w:rPr>
        <w:t>c）</w:t>
      </w:r>
      <w:r>
        <w:rPr>
          <w:rFonts w:hint="eastAsia" w:ascii="Times New Roman" w:hAnsi="Times New Roman" w:eastAsia="宋体" w:cs="Times New Roman"/>
          <w:color w:val="000000"/>
          <w:sz w:val="21"/>
          <w:szCs w:val="22"/>
          <w:highlight w:val="none"/>
          <w:lang w:val="en-US" w:eastAsia="zh-CN" w:bidi="ar-SA"/>
        </w:rPr>
        <w:t>组织多学科病例讨论。对于疑难病例，定期召开由神经科、精神科、老年科、心理治疗师、康复治疗师等参加的MDT会议，综合各专业意见优化诊疗方案。</w:t>
      </w:r>
    </w:p>
    <w:p>
      <w:pPr>
        <w:pStyle w:val="169"/>
        <w:tabs>
          <w:tab w:val="center" w:pos="4201"/>
          <w:tab w:val="right" w:leader="dot" w:pos="9298"/>
        </w:tabs>
        <w:spacing w:line="360" w:lineRule="exact"/>
        <w:ind w:firstLine="420"/>
        <w:rPr>
          <w:rFonts w:hint="eastAsia" w:ascii="Times New Roman" w:hAnsi="Times New Roman" w:eastAsia="宋体" w:cs="Times New Roman"/>
          <w:color w:val="000000"/>
          <w:sz w:val="21"/>
          <w:szCs w:val="22"/>
          <w:highlight w:val="none"/>
          <w:lang w:val="en-US" w:eastAsia="zh-CN" w:bidi="ar-SA"/>
        </w:rPr>
      </w:pPr>
      <w:r>
        <w:rPr>
          <w:rFonts w:hint="eastAsia" w:ascii="Times New Roman" w:cs="Times New Roman"/>
          <w:color w:val="000000"/>
          <w:sz w:val="21"/>
          <w:szCs w:val="22"/>
          <w:highlight w:val="none"/>
          <w:lang w:val="en-US" w:eastAsia="zh-CN" w:bidi="ar-SA"/>
        </w:rPr>
        <w:t>d)</w:t>
      </w:r>
      <w:r>
        <w:rPr>
          <w:rFonts w:hint="eastAsia" w:ascii="Times New Roman" w:hAnsi="Times New Roman" w:eastAsia="宋体" w:cs="Times New Roman"/>
          <w:color w:val="000000"/>
          <w:sz w:val="21"/>
          <w:szCs w:val="22"/>
          <w:highlight w:val="none"/>
          <w:lang w:val="en-US" w:eastAsia="zh-CN" w:bidi="ar-SA"/>
        </w:rPr>
        <w:t>制定个体化的综合治疗策略。针对每位患者，同时考虑神经生物学治疗和心理社会干预两方面，制定药物治疗与心理治疗相结合的方案[18]。必要时结合物理治疗（如经颅磁刺激等神经调控技术）和中医药治疗，提供全方位、多手段的治疗措施[18] 。</w:t>
      </w:r>
    </w:p>
    <w:p>
      <w:pPr>
        <w:pStyle w:val="169"/>
        <w:keepNext w:val="0"/>
        <w:keepLines w:val="0"/>
        <w:pageBreakBefore w:val="0"/>
        <w:widowControl/>
        <w:kinsoku/>
        <w:wordWrap/>
        <w:overflowPunct/>
        <w:topLinePunct w:val="0"/>
        <w:autoSpaceDE w:val="0"/>
        <w:autoSpaceDN w:val="0"/>
        <w:bidi w:val="0"/>
        <w:adjustRightInd/>
        <w:snapToGrid/>
        <w:spacing w:before="120" w:beforeLines="50" w:after="120" w:afterLines="50" w:line="360" w:lineRule="exact"/>
        <w:ind w:firstLine="0" w:firstLineChars="0"/>
        <w:textAlignment w:val="auto"/>
        <w:outlineLvl w:val="9"/>
        <w:rPr>
          <w:rFonts w:hint="default" w:ascii="黑体" w:hAnsi="黑体" w:eastAsia="黑体"/>
          <w:szCs w:val="22"/>
          <w:highlight w:val="none"/>
        </w:rPr>
      </w:pPr>
      <w:r>
        <w:rPr>
          <w:rFonts w:hint="default" w:ascii="黑体" w:hAnsi="黑体" w:eastAsia="黑体"/>
          <w:szCs w:val="22"/>
          <w:highlight w:val="none"/>
        </w:rPr>
        <w:t>5.2 诊疗流程</w:t>
      </w:r>
    </w:p>
    <w:p>
      <w:pPr>
        <w:pStyle w:val="169"/>
        <w:tabs>
          <w:tab w:val="center" w:pos="4201"/>
          <w:tab w:val="right" w:leader="dot" w:pos="9298"/>
        </w:tabs>
        <w:spacing w:line="360" w:lineRule="exact"/>
        <w:ind w:firstLine="420"/>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神经内科应依据疾病谱制定规范的诊疗流程和临床路径</w:t>
      </w:r>
      <w:r>
        <w:rPr>
          <w:rFonts w:hint="eastAsia" w:ascii="Times New Roman" w:cs="Times New Roman"/>
          <w:color w:val="000000"/>
          <w:sz w:val="21"/>
          <w:szCs w:val="22"/>
          <w:highlight w:val="none"/>
          <w:lang w:val="en-US" w:eastAsia="zh-CN" w:bidi="ar-SA"/>
        </w:rPr>
        <w:t>，具体如下：</w:t>
      </w:r>
    </w:p>
    <w:p>
      <w:pPr>
        <w:pStyle w:val="169"/>
        <w:numPr>
          <w:ilvl w:val="0"/>
          <w:numId w:val="10"/>
        </w:numPr>
        <w:tabs>
          <w:tab w:val="center" w:pos="4201"/>
          <w:tab w:val="right" w:leader="dot" w:pos="9298"/>
        </w:tabs>
        <w:spacing w:line="360" w:lineRule="exact"/>
        <w:ind w:firstLine="420"/>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门诊流程：神经内科门诊接诊时，应详细询问既往精神疾病史和家族史，对可疑存在精神症状的患者主动 进行心理评估或转介精神科评估</w:t>
      </w:r>
      <w:r>
        <w:rPr>
          <w:rFonts w:hint="eastAsia" w:ascii="Times New Roman" w:hAnsi="Times New Roman" w:eastAsia="宋体" w:cs="Times New Roman"/>
          <w:color w:val="000000"/>
          <w:sz w:val="21"/>
          <w:szCs w:val="22"/>
          <w:highlight w:val="none"/>
          <w:lang w:val="en-US" w:eastAsia="zh-CN" w:bidi="ar-SA"/>
        </w:rPr>
        <w:t>[2]</w:t>
      </w:r>
      <w:r>
        <w:rPr>
          <w:rFonts w:hint="default" w:ascii="Times New Roman" w:hAnsi="Times New Roman" w:eastAsia="宋体" w:cs="Times New Roman"/>
          <w:color w:val="000000"/>
          <w:sz w:val="21"/>
          <w:szCs w:val="22"/>
          <w:highlight w:val="none"/>
          <w:lang w:val="en-US" w:eastAsia="zh-CN" w:bidi="ar-SA"/>
        </w:rPr>
        <w:t>。对精神科门诊转诊来的患者，神经内科医师应优先安排检查，避免患者往返奔波。</w:t>
      </w:r>
    </w:p>
    <w:p>
      <w:pPr>
        <w:pStyle w:val="169"/>
        <w:numPr>
          <w:ilvl w:val="0"/>
          <w:numId w:val="10"/>
        </w:numPr>
        <w:tabs>
          <w:tab w:val="center" w:pos="4201"/>
          <w:tab w:val="right" w:leader="dot" w:pos="9298"/>
        </w:tabs>
        <w:spacing w:line="360" w:lineRule="exact"/>
        <w:ind w:firstLine="420"/>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会诊流程：精神科病房患者出现神经系统症状（如抽搐发作、意识障碍、运动障碍等）时，应 及时申请神经内科床边会诊；神经内科病房患者出现明显精神行为异常时，也应请精神科医师会诊，共同讨论诊断和治疗方案。建立完善的会诊申请、反馈制度和紧急会诊预案，保证院内会诊高效运转。</w:t>
      </w:r>
    </w:p>
    <w:p>
      <w:pPr>
        <w:pStyle w:val="169"/>
        <w:numPr>
          <w:ilvl w:val="0"/>
          <w:numId w:val="10"/>
        </w:numPr>
        <w:tabs>
          <w:tab w:val="center" w:pos="4201"/>
          <w:tab w:val="right" w:leader="dot" w:pos="9298"/>
        </w:tabs>
        <w:spacing w:line="360" w:lineRule="exact"/>
        <w:ind w:firstLine="420"/>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住院流程： 制订神经内科收治适应证标准，明确哪些患者由神经内科病房收治，哪些需要转入精神科病房或联合病房。入院时完成神经系统和精神心理系统的双重评估，出院前做好随访计划的衔接。</w:t>
      </w:r>
    </w:p>
    <w:p>
      <w:pPr>
        <w:pStyle w:val="169"/>
        <w:numPr>
          <w:ilvl w:val="0"/>
          <w:numId w:val="10"/>
        </w:numPr>
        <w:tabs>
          <w:tab w:val="center" w:pos="4201"/>
          <w:tab w:val="right" w:leader="dot" w:pos="9298"/>
        </w:tabs>
        <w:spacing w:line="360" w:lineRule="exact"/>
        <w:ind w:firstLine="420"/>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临床路径：针对常见神经精 神共患疾病（如卒中后抑郁等），制定标准化的临床路径或诊疗规范，包括筛查评估、诊断流程、治疗措施、随访管理等内容</w:t>
      </w:r>
      <w:r>
        <w:rPr>
          <w:rFonts w:hint="eastAsia" w:ascii="Times New Roman" w:hAnsi="Times New Roman" w:eastAsia="宋体" w:cs="Times New Roman"/>
          <w:color w:val="000000"/>
          <w:sz w:val="21"/>
          <w:szCs w:val="22"/>
          <w:highlight w:val="none"/>
          <w:lang w:val="en-US" w:eastAsia="zh-CN" w:bidi="ar-SA"/>
        </w:rPr>
        <w:t>[19]</w:t>
      </w:r>
      <w:r>
        <w:rPr>
          <w:rFonts w:hint="default" w:ascii="Times New Roman" w:hAnsi="Times New Roman" w:eastAsia="宋体" w:cs="Times New Roman"/>
          <w:color w:val="000000"/>
          <w:sz w:val="21"/>
          <w:szCs w:val="22"/>
          <w:highlight w:val="none"/>
          <w:lang w:val="en-US" w:eastAsia="zh-CN" w:bidi="ar-SA"/>
        </w:rPr>
        <w:t>。</w:t>
      </w:r>
    </w:p>
    <w:p>
      <w:pPr>
        <w:pStyle w:val="169"/>
        <w:numPr>
          <w:ilvl w:val="0"/>
          <w:numId w:val="10"/>
        </w:numPr>
        <w:tabs>
          <w:tab w:val="center" w:pos="4201"/>
          <w:tab w:val="right" w:leader="dot" w:pos="9298"/>
        </w:tabs>
        <w:spacing w:line="360" w:lineRule="exact"/>
        <w:ind w:firstLine="420"/>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鉴别诊断：强化对精神 科患者器质性病因筛查的流程。对于临床表现异常复杂、治疗效果不佳的精神障碍患者，应由神经内科协助进 行脑影像学、脑电图、实验室检查等，以排除脑卒中、脑炎、癫痫、脑肿瘤等神经系统疾病的可能</w:t>
      </w:r>
      <w:r>
        <w:rPr>
          <w:rFonts w:hint="default" w:ascii="Times New Roman" w:hAnsi="Times New Roman" w:eastAsia="宋体" w:cs="Times New Roman"/>
          <w:color w:val="000000"/>
          <w:sz w:val="21"/>
          <w:szCs w:val="22"/>
          <w:highlight w:val="none"/>
          <w:lang w:val="en-US" w:eastAsia="zh-CN" w:bidi="ar-SA"/>
        </w:rPr>
        <w:fldChar w:fldCharType="begin"/>
      </w:r>
      <w:r>
        <w:rPr>
          <w:rFonts w:hint="default" w:ascii="Times New Roman" w:hAnsi="Times New Roman" w:eastAsia="宋体" w:cs="Times New Roman"/>
          <w:color w:val="000000"/>
          <w:sz w:val="21"/>
          <w:szCs w:val="22"/>
          <w:highlight w:val="none"/>
          <w:lang w:val="en-US" w:eastAsia="zh-CN" w:bidi="ar-SA"/>
        </w:rPr>
        <w:instrText xml:space="preserve"> HYPERLINK "http://www.jksb.com.cn/index.php?m=wap&amp;a=show&amp;catid=788&amp;id=234316#:~:text=%E2%80%9C%E7%90%86%E8%AE%BA%E4%B8%8A%E8%AE%B2%EF%BC%8C%E7%A5%9E%E7%BB%8F%E7%B3%BB%E7%BB%9F%E7%96%BE%E7%97%85%E6%8D%9F%E5%AE%B3%E5%88%B0%E5%A4%A7%E8%84%91%E7%9A%84%E7%9B%B8%E5%85%B3%E9%83%A8%E4%BD%8D%EF%BC%8C%E5%B0%B1%E6%9C%89%E5%8F%AF%E8%83%BD%E5%87%BA%E7%8E%B0%E7%B2%BE%E7%A5%9E%E7%97%87%E7%8A%B6%E3%80%82%E5%90%8C%E6%97%B6%EF%BC%8C%E7%B2%BE%E7%A5%9E%E7%96%BE%E7%97%85%E6%9C%AC%E8%BA%AB%E4%B9%9F%E4%BC%9A%E5%A2%9E%E5%8A%A0%E6%82%A3%E8%80%85%E7%BD%B9%E6%82%A3%E7%A5%9E%E7%BB%8F%E7%B3%BB%E7%BB%9F%E7%96%BE%E7%97%85%E7%9A%84%E9%A3%8E%E9%99%A9%E3%80%82%E2%80%9D%E5%8C%97%E4%BA%AC%E5%AE%89%E5%AE%9A%E5%8C%BB%E9%99%A2%E7%A5%9E%E7%BB%8F%E5%86%85%E7%A7%91%E4%B8%BB%E4%BB%BB%E5%8C%BB%E5%B8%88%E8%91%A3%E6%81%BA9%E6%9C%88%2025%E6%97%A5%E5%91%8A%E8%AF%89%E4%BA%BA%E6%B0%91%E6%97%A5%E6%8A%A5%E5%81%A5%E5%BA%B7%E5%AE%A2%E6%88%B7%E7%AB%AF%E8%AE%B0%E8%80%85%EF%BC%8C%E4%B8%B4%E5%BA%8A%E4%B8%AD%EF%BC%8C%E9%98%BF%E5%B0%94%E8%8C%A8%E6%B5%B7%E9%BB%98%E7%97%85%E3%80%81%E8%B7%AF%E6%98%93%E4%BD%93%E7%97%B4%E5%91%86%E3%80%81%E9%A2%9D%E9%A2%9E%E5%8F%B6%E7%97%B4%E5%91%86%E7%AD%89%E7%97%B4%E5%91%86%E8%B0%B1%E7%B3%BB%E7%96%BE%E7%97%85%EF%BC%8C%E4%BB%A5%E5%8F%8A%E7%99%AB%E7%97%AB%E3%80%81%E8%BF%90%E5%8A%A8%E9%9A%9C%E7%A2%8D%E7%97%85" </w:instrText>
      </w:r>
      <w:r>
        <w:rPr>
          <w:rFonts w:hint="default" w:ascii="Times New Roman" w:hAnsi="Times New Roman" w:eastAsia="宋体" w:cs="Times New Roman"/>
          <w:color w:val="000000"/>
          <w:sz w:val="21"/>
          <w:szCs w:val="22"/>
          <w:highlight w:val="none"/>
          <w:lang w:val="en-US" w:eastAsia="zh-CN" w:bidi="ar-SA"/>
        </w:rPr>
        <w:fldChar w:fldCharType="separate"/>
      </w:r>
      <w:r>
        <w:rPr>
          <w:rFonts w:hint="default" w:ascii="Times New Roman" w:hAnsi="Times New Roman" w:eastAsia="宋体" w:cs="Times New Roman"/>
          <w:color w:val="000000"/>
          <w:sz w:val="21"/>
          <w:szCs w:val="22"/>
          <w:highlight w:val="none"/>
          <w:lang w:val="en-US" w:eastAsia="zh-CN" w:bidi="ar-SA"/>
        </w:rPr>
        <w:t>2</w:t>
      </w:r>
      <w:r>
        <w:rPr>
          <w:rFonts w:hint="default" w:ascii="Times New Roman" w:hAnsi="Times New Roman" w:eastAsia="宋体" w:cs="Times New Roman"/>
          <w:color w:val="000000"/>
          <w:sz w:val="21"/>
          <w:szCs w:val="22"/>
          <w:highlight w:val="none"/>
          <w:lang w:val="en-US" w:eastAsia="zh-CN" w:bidi="ar-SA"/>
        </w:rPr>
        <w:fldChar w:fldCharType="end"/>
      </w:r>
      <w:r>
        <w:rPr>
          <w:rFonts w:hint="default" w:ascii="Times New Roman" w:hAnsi="Times New Roman" w:eastAsia="宋体" w:cs="Times New Roman"/>
          <w:color w:val="000000"/>
          <w:sz w:val="21"/>
          <w:szCs w:val="22"/>
          <w:highlight w:val="none"/>
          <w:lang w:val="en-US" w:eastAsia="zh-CN" w:bidi="ar-SA"/>
        </w:rPr>
        <w:t>。反之，对于神经科患者出现的情绪或行为改变，也应评估是否为独立的精神障碍，以免漏诊。</w:t>
      </w:r>
    </w:p>
    <w:p>
      <w:pPr>
        <w:pStyle w:val="169"/>
        <w:keepNext w:val="0"/>
        <w:keepLines w:val="0"/>
        <w:pageBreakBefore w:val="0"/>
        <w:widowControl/>
        <w:kinsoku/>
        <w:wordWrap/>
        <w:overflowPunct/>
        <w:topLinePunct w:val="0"/>
        <w:autoSpaceDE w:val="0"/>
        <w:autoSpaceDN w:val="0"/>
        <w:bidi w:val="0"/>
        <w:adjustRightInd/>
        <w:snapToGrid/>
        <w:spacing w:before="120" w:beforeLines="50" w:after="120" w:afterLines="50" w:line="360" w:lineRule="exact"/>
        <w:ind w:firstLine="0" w:firstLineChars="0"/>
        <w:textAlignment w:val="auto"/>
        <w:outlineLvl w:val="9"/>
        <w:rPr>
          <w:rFonts w:hint="default" w:ascii="黑体" w:hAnsi="黑体" w:eastAsia="黑体"/>
          <w:szCs w:val="22"/>
          <w:highlight w:val="none"/>
        </w:rPr>
      </w:pPr>
      <w:r>
        <w:rPr>
          <w:rFonts w:hint="default" w:ascii="黑体" w:hAnsi="黑体" w:eastAsia="黑体"/>
          <w:szCs w:val="22"/>
          <w:highlight w:val="none"/>
        </w:rPr>
        <w:t>5.3 治疗管理：</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 xml:space="preserve">在治疗方面，应遵守循证医学原则，在控制神经系统原发疾病的同时积极干预伴发的精神症状， 采取综合治疗措施。 </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具体要求包括：</w:t>
      </w:r>
    </w:p>
    <w:p>
      <w:pPr>
        <w:pStyle w:val="20"/>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药物治疗：制订药物使用规范，神经内科医师在选用神经系统疾 病治疗药物时，应考虑其对患者精神状态的影响；对合并明显精神症状者，可在精神科医生指导下联用抗抑郁  药、抗焦虑药或抗精神病药。选药时注意药物相互作用和对病情的综合影响，例如癫痫合并抑郁患者尽量选择  兼具情感调节作用的抗癫痫药物，避免使用可能加重抑郁的药物；精神药物方面，警惕抗精神病药物对癫痫发  作阈值的影响等。</w:t>
      </w:r>
    </w:p>
    <w:p>
      <w:pPr>
        <w:pStyle w:val="20"/>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心理治疗：鼓励为每一位合并情绪或认知问题的患者提供心理支持和心理治疗服务。神 经内科应与临床心理科合作，针对卒中后抑郁、帕金森病抑郁等提供认知行为治疗、支持性  心理治疗等个体或团体心理干预。</w:t>
      </w:r>
    </w:p>
    <w:p>
      <w:pPr>
        <w:pStyle w:val="20"/>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康复治疗：强调早期介入康复。物理治疗师、作业治疗师应参与卒中、脑损伤等患者的早期康复训练，同时结合精神康复技术，如艺术疗法、作业疗法等，帮助患者重建社交生活功能。</w:t>
      </w:r>
    </w:p>
    <w:p>
      <w:pPr>
        <w:pStyle w:val="20"/>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中西医结合：有条件的机构可结合中医药和传统康复疗法，如针灸、中药、音乐放松等， 以缓解患者精神症状并促进神经功能恢复。</w:t>
      </w:r>
    </w:p>
    <w:p>
      <w:pPr>
        <w:pStyle w:val="20"/>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个案管理：对诊疗过程中需要长期管理的疾病（如痴呆、 帕金森病等），实行个案管理制度。定期随访患者的神经和精神状况，根据病情变化及时调整治疗方案，并给予家庭照护指导。</w:t>
      </w:r>
    </w:p>
    <w:p>
      <w:pPr>
        <w:pStyle w:val="168"/>
        <w:numPr>
          <w:ilvl w:val="0"/>
          <w:numId w:val="9"/>
        </w:numPr>
        <w:spacing w:before="240" w:beforeLines="100" w:after="240" w:afterLines="100" w:line="360" w:lineRule="exact"/>
        <w:outlineLvl w:val="0"/>
        <w:rPr>
          <w:rFonts w:hint="default" w:ascii="Times New Roman"/>
          <w:highlight w:val="none"/>
        </w:rPr>
      </w:pPr>
      <w:r>
        <w:rPr>
          <w:rFonts w:hint="default" w:ascii="Times New Roman"/>
          <w:highlight w:val="none"/>
        </w:rPr>
        <w:t>设施与设备</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firstLine="0" w:firstLineChars="0"/>
        <w:jc w:val="both"/>
        <w:textAlignment w:val="baseline"/>
        <w:rPr>
          <w:rFonts w:hint="eastAsia" w:ascii="黑体" w:hAnsi="黑体" w:eastAsia="黑体" w:cs="黑体"/>
          <w:b w:val="0"/>
          <w:bCs w:val="0"/>
          <w:sz w:val="21"/>
          <w:szCs w:val="21"/>
          <w:highlight w:val="none"/>
          <w:shd w:val="clear" w:color="auto" w:fill="auto"/>
        </w:rPr>
      </w:pPr>
      <w:r>
        <w:rPr>
          <w:rFonts w:hint="eastAsia" w:ascii="黑体" w:hAnsi="黑体" w:eastAsia="黑体" w:cs="黑体"/>
          <w:b w:val="0"/>
          <w:bCs w:val="0"/>
          <w:spacing w:val="16"/>
          <w:sz w:val="21"/>
          <w:szCs w:val="21"/>
          <w:highlight w:val="none"/>
          <w:shd w:val="clear" w:color="auto" w:fill="auto"/>
        </w:rPr>
        <w:t xml:space="preserve"> </w:t>
      </w:r>
      <w:r>
        <w:rPr>
          <w:rFonts w:hint="eastAsia" w:ascii="黑体" w:hAnsi="黑体" w:eastAsia="黑体" w:cs="黑体"/>
          <w:b w:val="0"/>
          <w:bCs w:val="0"/>
          <w:sz w:val="21"/>
          <w:szCs w:val="21"/>
          <w:highlight w:val="none"/>
          <w:shd w:val="clear" w:color="auto" w:fill="auto"/>
        </w:rPr>
        <w:t>场地与设施布局</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精神专科医院在新建或改造神经内科科室时，应满足功能需求和安全要求。</w:t>
      </w:r>
    </w:p>
    <w:p>
      <w:pPr>
        <w:pStyle w:val="20"/>
        <w:keepNext w:val="0"/>
        <w:keepLines w:val="0"/>
        <w:pageBreakBefore w:val="0"/>
        <w:widowControl/>
        <w:numPr>
          <w:ilvl w:val="0"/>
          <w:numId w:val="12"/>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病房环境：神经内科病区的设置应兼顾神经科和精神科病房的要求。病房应配备必要的监护设备（如心电、血压、血  氧监测）和抢救设施，以应对癫痫发作、卒中等神经急症；同时病区环境应符合精神科安全管理标准，安装必要的防自杀、防逃逸设施，消除潜在危险物品，创造有利于康复的舒适、安全环境。</w:t>
      </w:r>
    </w:p>
    <w:p>
      <w:pPr>
        <w:pStyle w:val="20"/>
        <w:keepNext w:val="0"/>
        <w:keepLines w:val="0"/>
        <w:pageBreakBefore w:val="0"/>
        <w:widowControl/>
        <w:numPr>
          <w:ilvl w:val="0"/>
          <w:numId w:val="12"/>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诊室与检查区：门诊诊室宜相对独立安静，便于详细询问病史和进行神经系统体检。神经功能检查区域应布局合理，包括脑电  图检查室、肌电图及诱发电位检查室、经颅多普勒超声检查室等。检查区域环境需要考虑到精神症状患者的特  殊情况，例如脑电图检查室应尽可能减少刺激源，以便伴有兴奋躁动的患者也能完成检查。</w:t>
      </w:r>
    </w:p>
    <w:p>
      <w:pPr>
        <w:pStyle w:val="20"/>
        <w:keepNext w:val="0"/>
        <w:keepLines w:val="0"/>
        <w:pageBreakBefore w:val="0"/>
        <w:widowControl/>
        <w:numPr>
          <w:ilvl w:val="0"/>
          <w:numId w:val="12"/>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康复功能区：根据需要配置神经康复训练室和认知功能评估、训练室。为认知功能障碍、帕金森病运动功能障碍等患者提供康复评定与训练场地。这些区域应有安全防护措施，配备多感官刺激和作业治疗等设备，促进患者身心功能恢复。</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firstLine="0" w:firstLineChars="0"/>
        <w:jc w:val="both"/>
        <w:textAlignment w:val="baseline"/>
        <w:rPr>
          <w:rFonts w:hint="default" w:ascii="Times New Roman" w:hAnsi="Times New Roman" w:eastAsia="宋体" w:cs="Times New Roman"/>
          <w:spacing w:val="3"/>
          <w:sz w:val="24"/>
          <w:szCs w:val="24"/>
          <w:highlight w:val="none"/>
          <w:shd w:val="clear" w:color="auto" w:fill="auto"/>
        </w:rPr>
      </w:pPr>
      <w:r>
        <w:rPr>
          <w:rFonts w:hint="default" w:ascii="Times New Roman" w:hAnsi="Times New Roman" w:eastAsia="宋体" w:cs="Times New Roman"/>
          <w:b/>
          <w:bCs/>
          <w:spacing w:val="3"/>
          <w:sz w:val="24"/>
          <w:szCs w:val="24"/>
          <w:highlight w:val="none"/>
          <w:shd w:val="clear" w:color="auto" w:fill="auto"/>
        </w:rPr>
        <w:t>医疗设备</w:t>
      </w:r>
      <w:r>
        <w:rPr>
          <w:rFonts w:hint="default" w:ascii="Times New Roman" w:hAnsi="Times New Roman" w:eastAsia="宋体" w:cs="Times New Roman"/>
          <w:spacing w:val="3"/>
          <w:sz w:val="24"/>
          <w:szCs w:val="24"/>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神经内科应配备完善的神经系统疾病诊疗所需设备，或通过医院检验、检查科室获得支持。主要设备配置建议如下：</w:t>
      </w:r>
    </w:p>
    <w:p>
      <w:pPr>
        <w:pStyle w:val="20"/>
        <w:keepNext w:val="0"/>
        <w:keepLines w:val="0"/>
        <w:pageBreakBefore w:val="0"/>
        <w:widowControl/>
        <w:numPr>
          <w:ilvl w:val="0"/>
          <w:numId w:val="13"/>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影像检查：配备或可及高分辨率的神经影像检查设备。如本院设置CT、MRI等放射科设备时，应确保神经精神急症患者的检查及时优先；如本院未配置相关设备，应与当地综合医院建立协作获取快速影像检查服务。</w:t>
      </w:r>
    </w:p>
    <w:p>
      <w:pPr>
        <w:pStyle w:val="20"/>
        <w:keepNext w:val="0"/>
        <w:keepLines w:val="0"/>
        <w:pageBreakBefore w:val="0"/>
        <w:widowControl/>
        <w:numPr>
          <w:ilvl w:val="0"/>
          <w:numId w:val="13"/>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神经电生理设备：科室应至少配备数字脑电图仪，具备长程视频脑电监测能力；肌电图及诱发电位仪一套，用于周围神经病变、肌肉病变及中枢传导功能评估；经颅多普勒超声（TCD）仪，用于脑血管评估。必要时配备眼震电图、睡眠多导监测仪等专项设备，视具体业务需求确定。</w:t>
      </w:r>
    </w:p>
    <w:p>
      <w:pPr>
        <w:pStyle w:val="20"/>
        <w:keepNext w:val="0"/>
        <w:keepLines w:val="0"/>
        <w:pageBreakBefore w:val="0"/>
        <w:widowControl/>
        <w:numPr>
          <w:ilvl w:val="0"/>
          <w:numId w:val="13"/>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 xml:space="preserve"> 治疗设备：根据科室开展的治疗技术，配备相应设备。如开展神经调控治疗则需配备经颅磁刺激（rTMS）仪、生物反馈治疗系统等；疼痛治疗需配备神经阻滞、理疗设备；康复治疗需配备肢体训练器、平衡训练器等。</w:t>
      </w:r>
    </w:p>
    <w:p>
      <w:pPr>
        <w:pStyle w:val="20"/>
        <w:keepNext w:val="0"/>
        <w:keepLines w:val="0"/>
        <w:pageBreakBefore w:val="0"/>
        <w:widowControl/>
        <w:numPr>
          <w:ilvl w:val="0"/>
          <w:numId w:val="13"/>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信息化设备：科室应配备计算机终端、移动查房车等信息设备，实现与医院电子病历和影像存储传输系统（PACS） 的无缝对接。鼓励使用数字化病历系统和辅助决策支持系统，提高医疗信息管理和共享的效率。</w:t>
      </w:r>
    </w:p>
    <w:p>
      <w:pPr>
        <w:pStyle w:val="20"/>
        <w:keepNext w:val="0"/>
        <w:keepLines w:val="0"/>
        <w:pageBreakBefore w:val="0"/>
        <w:widowControl/>
        <w:numPr>
          <w:ilvl w:val="0"/>
          <w:numId w:val="13"/>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急救设备：病区应常备神经科急救必需设备和药品，如除颤仪、呼吸机、气管插管设备、抗癫痫发作药物等急救物资，以应对意识障碍、癫痫持续状态、脑卒中等急危重症。定期检查维护，确保完好可用。上述设备的管理应指定专人负责，建立设备台账和维护保养制度，确保设备安全、高效运转。</w:t>
      </w:r>
    </w:p>
    <w:p>
      <w:pPr>
        <w:pStyle w:val="168"/>
        <w:numPr>
          <w:ilvl w:val="0"/>
          <w:numId w:val="9"/>
        </w:numPr>
        <w:spacing w:before="240" w:beforeLines="100" w:after="240" w:afterLines="100" w:line="360" w:lineRule="exact"/>
        <w:outlineLvl w:val="0"/>
        <w:rPr>
          <w:rFonts w:hint="default" w:ascii="Times New Roman"/>
          <w:highlight w:val="none"/>
        </w:rPr>
      </w:pPr>
      <w:r>
        <w:rPr>
          <w:rFonts w:hint="default" w:ascii="Times New Roman"/>
          <w:highlight w:val="none"/>
        </w:rPr>
        <w:t>信息与数据管理</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right="19" w:firstLine="0" w:firstLineChars="0"/>
        <w:jc w:val="both"/>
        <w:textAlignment w:val="baseline"/>
        <w:rPr>
          <w:rFonts w:hint="default" w:ascii="Times New Roman" w:hAnsi="Times New Roman" w:eastAsia="宋体" w:cs="Times New Roman"/>
          <w:sz w:val="24"/>
          <w:szCs w:val="24"/>
          <w:highlight w:val="none"/>
          <w:shd w:val="clear" w:color="auto" w:fill="auto"/>
        </w:rPr>
      </w:pPr>
      <w:r>
        <w:rPr>
          <w:rFonts w:hint="eastAsia" w:ascii="黑体" w:hAnsi="黑体" w:eastAsia="黑体" w:cs="黑体"/>
          <w:b w:val="0"/>
          <w:bCs w:val="0"/>
          <w:sz w:val="21"/>
          <w:szCs w:val="21"/>
          <w:highlight w:val="none"/>
          <w:shd w:val="clear" w:color="auto" w:fill="auto"/>
        </w:rPr>
        <w:t>信息系统整合</w:t>
      </w:r>
      <w:r>
        <w:rPr>
          <w:rFonts w:hint="default" w:ascii="Times New Roman" w:hAnsi="Times New Roman" w:eastAsia="宋体" w:cs="Times New Roman"/>
          <w:sz w:val="24"/>
          <w:szCs w:val="24"/>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 xml:space="preserve">医院应整合精神科与神经内科的信息系统，实现患者医疗信息在不同科室之间的实时共享与 无缝对接 </w:t>
      </w:r>
      <w:r>
        <w:rPr>
          <w:rFonts w:hint="eastAsia" w:ascii="Times New Roman" w:hAnsi="Times New Roman" w:eastAsia="宋体" w:cs="Times New Roman"/>
          <w:color w:val="000000"/>
          <w:sz w:val="21"/>
          <w:szCs w:val="22"/>
          <w:highlight w:val="none"/>
          <w:lang w:val="en-US" w:eastAsia="zh-CN" w:bidi="ar-SA"/>
        </w:rPr>
        <w:t>[23]</w:t>
      </w:r>
      <w:r>
        <w:rPr>
          <w:rFonts w:hint="default" w:ascii="Times New Roman" w:hAnsi="Times New Roman" w:eastAsia="宋体" w:cs="Times New Roman"/>
          <w:color w:val="000000"/>
          <w:sz w:val="21"/>
          <w:szCs w:val="22"/>
          <w:highlight w:val="none"/>
          <w:lang w:val="en-US" w:eastAsia="zh-CN" w:bidi="ar-SA"/>
        </w:rPr>
        <w:t>。在电子病历系统将神经科相关检查结果与精神科病历相互链接，建立精神-神经一体化的信息平台或模块</w:t>
      </w:r>
      <w:r>
        <w:rPr>
          <w:rFonts w:hint="eastAsia" w:ascii="Times New Roman" w:hAnsi="Times New Roman" w:eastAsia="宋体" w:cs="Times New Roman"/>
          <w:color w:val="000000"/>
          <w:sz w:val="21"/>
          <w:szCs w:val="22"/>
          <w:highlight w:val="none"/>
          <w:lang w:val="en-US" w:eastAsia="zh-CN" w:bidi="ar-SA"/>
        </w:rPr>
        <w:t>[24]</w:t>
      </w:r>
      <w:r>
        <w:rPr>
          <w:rFonts w:hint="default" w:ascii="Times New Roman" w:hAnsi="Times New Roman" w:eastAsia="宋体" w:cs="Times New Roman"/>
          <w:color w:val="000000"/>
          <w:sz w:val="21"/>
          <w:szCs w:val="22"/>
          <w:highlight w:val="none"/>
          <w:lang w:val="en-US" w:eastAsia="zh-CN" w:bidi="ar-SA"/>
        </w:rPr>
        <w:t>。同时，不同信息系统（如医院 HIS、LIS、PACS等）与电子病历系统有效集成。</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right="11" w:firstLine="0" w:firstLineChars="0"/>
        <w:jc w:val="both"/>
        <w:textAlignment w:val="baseline"/>
        <w:rPr>
          <w:rFonts w:hint="default" w:ascii="Times New Roman" w:hAnsi="Times New Roman" w:eastAsia="宋体" w:cs="Times New Roman"/>
          <w:sz w:val="24"/>
          <w:szCs w:val="24"/>
          <w:highlight w:val="none"/>
          <w:shd w:val="clear" w:color="auto" w:fill="auto"/>
        </w:rPr>
      </w:pPr>
      <w:r>
        <w:rPr>
          <w:rFonts w:hint="eastAsia" w:ascii="黑体" w:hAnsi="黑体" w:eastAsia="黑体" w:cs="黑体"/>
          <w:b w:val="0"/>
          <w:bCs w:val="0"/>
          <w:sz w:val="21"/>
          <w:szCs w:val="21"/>
          <w:highlight w:val="none"/>
          <w:shd w:val="clear" w:color="auto" w:fill="auto"/>
        </w:rPr>
        <w:t>患者信息管理</w:t>
      </w:r>
      <w:r>
        <w:rPr>
          <w:rFonts w:hint="default" w:ascii="Times New Roman" w:hAnsi="Times New Roman" w:eastAsia="宋体" w:cs="Times New Roman"/>
          <w:sz w:val="24"/>
          <w:szCs w:val="24"/>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加强对神经精神共病患者的数据管理和隐私保护。对于需要长期随访管理的患者，在信息系 统中建立专项数据库或标识，记录其神经及精神诊疗的全过程数据，便于随访人员掌握病情进展。应用大数据  技术对患者信息进行分析，识别高危患者并提供决策支持，例如通过信息系统自动提示卒中患者出院后需定期  进行抑郁筛查等。由于精神疾病信息的敏感性，需严格落实《精神卫生法》等有关患者隐私保护的规定，对电  子病历设置访问权限和日志监控，确保患者信息安全。</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right="145" w:firstLine="0" w:firstLineChars="0"/>
        <w:jc w:val="both"/>
        <w:textAlignment w:val="baseline"/>
        <w:rPr>
          <w:rFonts w:hint="default" w:ascii="Times New Roman" w:hAnsi="Times New Roman" w:eastAsia="宋体" w:cs="Times New Roman"/>
          <w:sz w:val="24"/>
          <w:szCs w:val="24"/>
          <w:highlight w:val="none"/>
          <w:shd w:val="clear" w:color="auto" w:fill="auto"/>
        </w:rPr>
      </w:pPr>
      <w:r>
        <w:rPr>
          <w:rFonts w:hint="eastAsia" w:ascii="黑体" w:hAnsi="黑体" w:eastAsia="黑体" w:cs="黑体"/>
          <w:b w:val="0"/>
          <w:bCs w:val="0"/>
          <w:sz w:val="21"/>
          <w:szCs w:val="21"/>
          <w:highlight w:val="none"/>
          <w:shd w:val="clear" w:color="auto" w:fill="auto"/>
        </w:rPr>
        <w:t>临床数据管理与科研</w:t>
      </w:r>
      <w:r>
        <w:rPr>
          <w:rFonts w:hint="default" w:ascii="Times New Roman" w:hAnsi="Times New Roman" w:eastAsia="宋体" w:cs="Times New Roman"/>
          <w:sz w:val="24"/>
          <w:szCs w:val="24"/>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神经内科应与医院信息部门合作，建立临床数据收集与分析机制。对神经精神交叉疾病相关的诊疗数据进行规范的记录和编码，确保数据准确完整。鼓励利用信息系统开展临床科研，如构建神经精神共病等专题病人队列数据库，以研究发病率、危险因素和转归，为改进临床路径提供依据。通过信息系统的数据汇总功能，定期生成科室质量指标和业务指标报告，为管理决策和质控提供数据支撑</w:t>
      </w:r>
      <w:r>
        <w:rPr>
          <w:rFonts w:hint="eastAsia" w:ascii="Times New Roman" w:hAnsi="Times New Roman" w:eastAsia="宋体" w:cs="Times New Roman"/>
          <w:color w:val="000000"/>
          <w:sz w:val="21"/>
          <w:szCs w:val="22"/>
          <w:highlight w:val="none"/>
          <w:lang w:val="en-US" w:eastAsia="zh-CN" w:bidi="ar-SA"/>
        </w:rPr>
        <w:t>[25]</w:t>
      </w:r>
      <w:r>
        <w:rPr>
          <w:rFonts w:hint="default" w:ascii="Times New Roman" w:hAnsi="Times New Roman" w:eastAsia="宋体" w:cs="Times New Roman"/>
          <w:color w:val="000000"/>
          <w:sz w:val="21"/>
          <w:szCs w:val="22"/>
          <w:highlight w:val="none"/>
          <w:lang w:val="en-US" w:eastAsia="zh-CN" w:bidi="ar-SA"/>
        </w:rPr>
        <w:t>。</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firstLine="0" w:firstLineChars="0"/>
        <w:jc w:val="both"/>
        <w:textAlignment w:val="baseline"/>
        <w:rPr>
          <w:rFonts w:hint="default" w:ascii="Times New Roman" w:hAnsi="Times New Roman" w:eastAsia="宋体" w:cs="Times New Roman"/>
          <w:spacing w:val="1"/>
          <w:sz w:val="24"/>
          <w:szCs w:val="24"/>
          <w:highlight w:val="none"/>
          <w:shd w:val="clear" w:color="auto" w:fill="auto"/>
        </w:rPr>
      </w:pPr>
      <w:r>
        <w:rPr>
          <w:rFonts w:hint="eastAsia" w:ascii="黑体" w:hAnsi="黑体" w:eastAsia="黑体" w:cs="黑体"/>
          <w:b w:val="0"/>
          <w:bCs w:val="0"/>
          <w:spacing w:val="1"/>
          <w:sz w:val="21"/>
          <w:szCs w:val="21"/>
          <w:highlight w:val="none"/>
          <w:shd w:val="clear" w:color="auto" w:fill="auto"/>
        </w:rPr>
        <w:t>信息技术应用与协同</w:t>
      </w:r>
      <w:r>
        <w:rPr>
          <w:rFonts w:hint="default" w:ascii="Times New Roman" w:hAnsi="Times New Roman" w:eastAsia="宋体" w:cs="Times New Roman"/>
          <w:spacing w:val="1"/>
          <w:sz w:val="24"/>
          <w:szCs w:val="24"/>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积极应用先进的信息技术手段提升诊疗效率和范围。</w:t>
      </w:r>
    </w:p>
    <w:p>
      <w:pPr>
        <w:pStyle w:val="20"/>
        <w:keepNext w:val="0"/>
        <w:keepLines w:val="0"/>
        <w:pageBreakBefore w:val="0"/>
        <w:widowControl/>
        <w:numPr>
          <w:ilvl w:val="0"/>
          <w:numId w:val="14"/>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电子病历和决策支持：完善电子病历系统功能，涵盖精神专科特有评估量表、神经系统检查记录模板等，提高记录的完整性和规 范性。引入临床决策支持系统，在诊断用药时给予提示，帮助医师识别潜在的药物相互作用或治疗建议。</w:t>
      </w:r>
    </w:p>
    <w:p>
      <w:pPr>
        <w:pStyle w:val="20"/>
        <w:keepNext w:val="0"/>
        <w:keepLines w:val="0"/>
        <w:pageBreakBefore w:val="0"/>
        <w:widowControl/>
        <w:numPr>
          <w:ilvl w:val="0"/>
          <w:numId w:val="14"/>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远程医疗：利用互联网医院和远程会诊平台，实现跨机构的会诊和随访。偏远地区或行动不便的患者可通过远程咨询获得神经内科和精神科专家指导，提高服务可及性。</w:t>
      </w:r>
    </w:p>
    <w:p>
      <w:pPr>
        <w:pStyle w:val="20"/>
        <w:keepNext w:val="0"/>
        <w:keepLines w:val="0"/>
        <w:pageBreakBefore w:val="0"/>
        <w:widowControl/>
        <w:numPr>
          <w:ilvl w:val="0"/>
          <w:numId w:val="14"/>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智能诊疗工具：探索使用人工智能技术，如AI读片辅助诊断、智能问诊分诊系统等，提高诊断准确性和工作效率。</w:t>
      </w:r>
    </w:p>
    <w:p>
      <w:pPr>
        <w:pStyle w:val="20"/>
        <w:keepNext w:val="0"/>
        <w:keepLines w:val="0"/>
        <w:pageBreakBefore w:val="0"/>
        <w:widowControl/>
        <w:numPr>
          <w:ilvl w:val="0"/>
          <w:numId w:val="14"/>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信息安全：定期对医护人员开展信息安全和隐私保护培训，增强保密意识和技能。建立数据备份和应急预案，防范系统故障或数据泄露风险，确保诊疗工作持续、安全开展。</w:t>
      </w:r>
    </w:p>
    <w:p>
      <w:pPr>
        <w:pStyle w:val="168"/>
        <w:numPr>
          <w:ilvl w:val="0"/>
          <w:numId w:val="9"/>
        </w:numPr>
        <w:spacing w:before="240" w:beforeLines="100" w:after="240" w:afterLines="100" w:line="360" w:lineRule="exact"/>
        <w:outlineLvl w:val="0"/>
        <w:rPr>
          <w:rFonts w:hint="default" w:ascii="Times New Roman"/>
          <w:highlight w:val="none"/>
        </w:rPr>
      </w:pPr>
      <w:r>
        <w:rPr>
          <w:rFonts w:hint="default" w:ascii="Times New Roman"/>
          <w:highlight w:val="none"/>
        </w:rPr>
        <w:t>协作机制</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firstLine="0" w:firstLineChars="0"/>
        <w:jc w:val="both"/>
        <w:textAlignment w:val="baseline"/>
        <w:rPr>
          <w:rFonts w:hint="default" w:ascii="Times New Roman" w:hAnsi="Times New Roman" w:eastAsia="宋体" w:cs="Times New Roman"/>
          <w:sz w:val="24"/>
          <w:szCs w:val="24"/>
          <w:highlight w:val="none"/>
          <w:shd w:val="clear" w:color="auto" w:fill="auto"/>
        </w:rPr>
      </w:pPr>
      <w:r>
        <w:rPr>
          <w:rFonts w:hint="default" w:ascii="Times New Roman" w:hAnsi="Times New Roman" w:eastAsia="宋体" w:cs="Times New Roman"/>
          <w:b/>
          <w:bCs/>
          <w:spacing w:val="20"/>
          <w:sz w:val="24"/>
          <w:szCs w:val="24"/>
          <w:highlight w:val="none"/>
          <w:shd w:val="clear" w:color="auto" w:fill="auto"/>
        </w:rPr>
        <w:t xml:space="preserve"> </w:t>
      </w:r>
      <w:r>
        <w:rPr>
          <w:rFonts w:hint="eastAsia" w:ascii="黑体" w:hAnsi="黑体" w:eastAsia="黑体" w:cs="黑体"/>
          <w:b w:val="0"/>
          <w:bCs w:val="0"/>
          <w:sz w:val="21"/>
          <w:szCs w:val="21"/>
          <w:highlight w:val="none"/>
          <w:shd w:val="clear" w:color="auto" w:fill="auto"/>
        </w:rPr>
        <w:t>院内协作</w:t>
      </w:r>
      <w:r>
        <w:rPr>
          <w:rFonts w:hint="default" w:ascii="Times New Roman" w:hAnsi="Times New Roman" w:eastAsia="宋体" w:cs="Times New Roman"/>
          <w:sz w:val="24"/>
          <w:szCs w:val="24"/>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精神专科医院内部应建立跨科协作机制，保证神经内科与其他相关科室密切配合。</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eastAsia" w:ascii="Times New Roman" w:hAnsi="Times New Roman" w:eastAsia="宋体" w:cs="Times New Roman"/>
          <w:color w:val="000000"/>
          <w:sz w:val="21"/>
          <w:szCs w:val="22"/>
          <w:highlight w:val="none"/>
          <w:lang w:val="en-US" w:eastAsia="zh-CN" w:bidi="ar-SA"/>
        </w:rPr>
      </w:pPr>
      <w:r>
        <w:rPr>
          <w:rFonts w:hint="eastAsia" w:ascii="Times New Roman" w:hAnsi="Times New Roman" w:eastAsia="宋体" w:cs="Times New Roman"/>
          <w:color w:val="000000"/>
          <w:sz w:val="21"/>
          <w:szCs w:val="22"/>
          <w:highlight w:val="none"/>
          <w:lang w:val="en-US" w:eastAsia="zh-CN" w:bidi="ar-SA"/>
        </w:rPr>
        <w:t>具体包括：</w:t>
      </w:r>
    </w:p>
    <w:p>
      <w:pPr>
        <w:pStyle w:val="20"/>
        <w:keepNext w:val="0"/>
        <w:keepLines w:val="0"/>
        <w:pageBreakBefore w:val="0"/>
        <w:widowControl/>
        <w:numPr>
          <w:ilvl w:val="0"/>
          <w:numId w:val="15"/>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综合治 疗团队：组建由神经内科医师、精神科医师、护理人员、心理治疗师、康复师等组成的综合医疗团队，对神经  精神共患患者实施协同管理。明确团队中各成员的角色与职责范围，定期召开团队会议交流病例信息，协   调诊疗计划。</w:t>
      </w:r>
    </w:p>
    <w:p>
      <w:pPr>
        <w:pStyle w:val="20"/>
        <w:keepNext w:val="0"/>
        <w:keepLines w:val="0"/>
        <w:pageBreakBefore w:val="0"/>
        <w:widowControl/>
        <w:numPr>
          <w:ilvl w:val="0"/>
          <w:numId w:val="15"/>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交叉培训：开展科室间的人才交叉培训机制。定期选派神经内科医生到精神科进修学习，精神科医生到神经内科轮转，提升彼此对交叉领域疾病的认识和技能。</w:t>
      </w:r>
    </w:p>
    <w:p>
      <w:pPr>
        <w:pStyle w:val="20"/>
        <w:keepNext w:val="0"/>
        <w:keepLines w:val="0"/>
        <w:pageBreakBefore w:val="0"/>
        <w:widowControl/>
        <w:numPr>
          <w:ilvl w:val="0"/>
          <w:numId w:val="15"/>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联合查房：对于住院患者中的疑难或复杂病例，由神经内科与精神科主任医师定期组织联合查房，共同指导治疗。</w:t>
      </w:r>
    </w:p>
    <w:p>
      <w:pPr>
        <w:pStyle w:val="20"/>
        <w:keepNext w:val="0"/>
        <w:keepLines w:val="0"/>
        <w:pageBreakBefore w:val="0"/>
        <w:widowControl/>
        <w:numPr>
          <w:ilvl w:val="0"/>
          <w:numId w:val="15"/>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临床路径制定：协同行制定涉及两个学科的疾病临床路径和诊疗规范，实现诊疗流程无缝衔接。</w:t>
      </w:r>
    </w:p>
    <w:p>
      <w:pPr>
        <w:pStyle w:val="20"/>
        <w:keepNext w:val="0"/>
        <w:keepLines w:val="0"/>
        <w:pageBreakBefore w:val="0"/>
        <w:widowControl/>
        <w:numPr>
          <w:ilvl w:val="0"/>
          <w:numId w:val="15"/>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双向转诊：院内建立双向转诊制度，精神科患者在诊治过程中发现神经系统疾病时，应便捷转诊至神经内科评估；反之亦然。设置绿色通道减少科室间转诊等候时间。</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right="6" w:firstLine="0" w:firstLineChars="0"/>
        <w:jc w:val="both"/>
        <w:textAlignment w:val="baseline"/>
        <w:rPr>
          <w:rFonts w:hint="default" w:ascii="Times New Roman" w:hAnsi="Times New Roman" w:eastAsia="宋体" w:cs="Times New Roman"/>
          <w:sz w:val="24"/>
          <w:szCs w:val="24"/>
          <w:highlight w:val="none"/>
          <w:shd w:val="clear" w:color="auto" w:fill="auto"/>
        </w:rPr>
      </w:pPr>
      <w:r>
        <w:rPr>
          <w:rFonts w:hint="eastAsia" w:ascii="黑体" w:hAnsi="黑体" w:eastAsia="黑体" w:cs="黑体"/>
          <w:b w:val="0"/>
          <w:bCs w:val="0"/>
          <w:sz w:val="21"/>
          <w:szCs w:val="21"/>
          <w:highlight w:val="none"/>
          <w:shd w:val="clear" w:color="auto" w:fill="auto"/>
        </w:rPr>
        <w:t>院际协作</w:t>
      </w:r>
      <w:r>
        <w:rPr>
          <w:rFonts w:hint="default" w:ascii="Times New Roman" w:hAnsi="Times New Roman" w:eastAsia="宋体" w:cs="Times New Roman"/>
          <w:sz w:val="24"/>
          <w:szCs w:val="24"/>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精神专科医院的神经内科应加强与综合医院神经专科及其他相关医疗机构的合作，形成联动协作 网络。</w:t>
      </w:r>
    </w:p>
    <w:p>
      <w:pPr>
        <w:pStyle w:val="20"/>
        <w:keepNext w:val="0"/>
        <w:keepLines w:val="0"/>
        <w:pageBreakBefore w:val="0"/>
        <w:widowControl/>
        <w:numPr>
          <w:ilvl w:val="0"/>
          <w:numId w:val="16"/>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 xml:space="preserve"> 医疗联合体：积极加入或牵头组建医疗联合体（医联体）或  医共体，与当地综合医院、高校附属医院建立协作关系。通过协议合作，实现检验检查结果互认、远程会   诊支持、双向转诊便利等，为患者提供连续的医疗服务。</w:t>
      </w:r>
    </w:p>
    <w:p>
      <w:pPr>
        <w:pStyle w:val="20"/>
        <w:keepNext w:val="0"/>
        <w:keepLines w:val="0"/>
        <w:pageBreakBefore w:val="0"/>
        <w:widowControl/>
        <w:numPr>
          <w:ilvl w:val="0"/>
          <w:numId w:val="16"/>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资源共享：在医联体框架下探索资源优化，如与 合作医院共同采购高端设备、共享检验科和影像科资源等。对于本院无法开展的高难度检查或手术（如脑   血管造影、神经外科手术等），通过协作医院支持来完成，避免重复建设和资源浪费。</w:t>
      </w:r>
    </w:p>
    <w:p>
      <w:pPr>
        <w:pStyle w:val="20"/>
        <w:keepNext w:val="0"/>
        <w:keepLines w:val="0"/>
        <w:pageBreakBefore w:val="0"/>
        <w:widowControl/>
        <w:numPr>
          <w:ilvl w:val="0"/>
          <w:numId w:val="16"/>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标准化流程： 与协作医院共同制定跨机构的诊疗规范和转诊标准，使患者在不同医疗机构间获得连续且同质化的诊疗。</w:t>
      </w:r>
    </w:p>
    <w:p>
      <w:pPr>
        <w:pStyle w:val="20"/>
        <w:keepNext w:val="0"/>
        <w:keepLines w:val="0"/>
        <w:pageBreakBefore w:val="0"/>
        <w:widowControl/>
        <w:numPr>
          <w:ilvl w:val="0"/>
          <w:numId w:val="16"/>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学术交流：定期与兄弟单位开展学术交流和多中心病例讨论会。针对疑难病例邀请外院专家会诊，或参与协作研究项目，共享新的诊疗经验和科研成果，提升整体水平。</w:t>
      </w:r>
    </w:p>
    <w:p>
      <w:pPr>
        <w:pStyle w:val="20"/>
        <w:keepNext w:val="0"/>
        <w:keepLines w:val="0"/>
        <w:pageBreakBefore w:val="0"/>
        <w:widowControl/>
        <w:numPr>
          <w:ilvl w:val="0"/>
          <w:numId w:val="16"/>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远程协作：建立远程医疗协作机制， 与省级、国家级神经疾病中心建立远程会诊联系。对于偏远地区患者，可通过远程诊断平台获取上级专家  的指导意见；对本院疑难病例，也可请求上级中心专家远程会诊，提高诊疗质量。</w:t>
      </w:r>
    </w:p>
    <w:p>
      <w:pPr>
        <w:pStyle w:val="20"/>
        <w:keepNext w:val="0"/>
        <w:keepLines w:val="0"/>
        <w:pageBreakBefore w:val="0"/>
        <w:widowControl/>
        <w:numPr>
          <w:ilvl w:val="0"/>
          <w:numId w:val="16"/>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信息平台：在区域或医 联体内建立卫生信息共享平台，实现患者电子健康记录跨机构调阅。同时共享重要公共卫生信息（如传染  病、精神卫生管理信息等），共同做好重大疾病的防控和管理。</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right="6" w:firstLine="0" w:firstLineChars="0"/>
        <w:jc w:val="both"/>
        <w:textAlignment w:val="baseline"/>
        <w:rPr>
          <w:rFonts w:hint="default" w:ascii="Times New Roman" w:hAnsi="Times New Roman" w:eastAsia="宋体" w:cs="Times New Roman"/>
          <w:b/>
          <w:bCs/>
          <w:sz w:val="24"/>
          <w:szCs w:val="24"/>
          <w:highlight w:val="none"/>
          <w:shd w:val="clear" w:color="auto" w:fill="auto"/>
        </w:rPr>
      </w:pPr>
      <w:r>
        <w:rPr>
          <w:rFonts w:hint="eastAsia" w:ascii="黑体" w:hAnsi="黑体" w:eastAsia="黑体" w:cs="黑体"/>
          <w:b w:val="0"/>
          <w:bCs w:val="0"/>
          <w:sz w:val="21"/>
          <w:szCs w:val="21"/>
          <w:highlight w:val="none"/>
          <w:shd w:val="clear" w:color="auto" w:fill="auto"/>
        </w:rPr>
        <w:t>社会支持协作</w:t>
      </w:r>
      <w:r>
        <w:rPr>
          <w:rFonts w:hint="default" w:ascii="Times New Roman" w:hAnsi="Times New Roman" w:eastAsia="宋体" w:cs="Times New Roman"/>
          <w:b/>
          <w:bCs/>
          <w:sz w:val="24"/>
          <w:szCs w:val="24"/>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神经内科应联合相关部门和社会机构，为患者提供综合支持。</w:t>
      </w:r>
    </w:p>
    <w:p>
      <w:pPr>
        <w:pStyle w:val="20"/>
        <w:keepNext w:val="0"/>
        <w:keepLines w:val="0"/>
        <w:pageBreakBefore w:val="0"/>
        <w:widowControl/>
        <w:numPr>
          <w:ilvl w:val="0"/>
          <w:numId w:val="17"/>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与社区卫生服务中心、 康复机构建立转介合作，方便患者出院后在社区继续进行康复训练和随访管理。</w:t>
      </w:r>
    </w:p>
    <w:p>
      <w:pPr>
        <w:pStyle w:val="20"/>
        <w:keepNext w:val="0"/>
        <w:keepLines w:val="0"/>
        <w:pageBreakBefore w:val="0"/>
        <w:widowControl/>
        <w:numPr>
          <w:ilvl w:val="0"/>
          <w:numId w:val="17"/>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加强与患者及家属组织的 联系，举办健康教育活动，提高公众对脑卒中后抑郁、老年痴呆等疾病的认识，减少污名和歧视。</w:t>
      </w:r>
    </w:p>
    <w:p>
      <w:pPr>
        <w:pStyle w:val="20"/>
        <w:keepNext w:val="0"/>
        <w:keepLines w:val="0"/>
        <w:pageBreakBefore w:val="0"/>
        <w:widowControl/>
        <w:numPr>
          <w:ilvl w:val="0"/>
          <w:numId w:val="17"/>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争取社会资源支持，开展公益项目帮助患有神经精神共病的困难患者，例如提供辅助器具、职业培训等，促进患者重返家庭和社会。</w:t>
      </w:r>
    </w:p>
    <w:p>
      <w:pPr>
        <w:pStyle w:val="168"/>
        <w:numPr>
          <w:ilvl w:val="0"/>
          <w:numId w:val="9"/>
        </w:numPr>
        <w:spacing w:before="240" w:beforeLines="100" w:after="240" w:afterLines="100" w:line="360" w:lineRule="exact"/>
        <w:outlineLvl w:val="0"/>
        <w:rPr>
          <w:rFonts w:hint="default" w:ascii="Times New Roman"/>
          <w:highlight w:val="none"/>
        </w:rPr>
      </w:pPr>
      <w:r>
        <w:rPr>
          <w:rFonts w:hint="default" w:ascii="Times New Roman"/>
          <w:highlight w:val="none"/>
        </w:rPr>
        <w:t>安全与质量控制</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right="9" w:firstLine="0" w:firstLineChars="0"/>
        <w:jc w:val="both"/>
        <w:textAlignment w:val="baseline"/>
        <w:rPr>
          <w:rFonts w:hint="eastAsia" w:ascii="黑体" w:hAnsi="黑体" w:eastAsia="黑体" w:cs="黑体"/>
          <w:b w:val="0"/>
          <w:bCs w:val="0"/>
          <w:spacing w:val="-1"/>
          <w:sz w:val="21"/>
          <w:szCs w:val="21"/>
          <w:highlight w:val="none"/>
          <w:shd w:val="clear" w:color="auto" w:fill="auto"/>
        </w:rPr>
      </w:pPr>
      <w:r>
        <w:rPr>
          <w:rFonts w:hint="eastAsia" w:ascii="黑体" w:hAnsi="黑体" w:eastAsia="黑体" w:cs="黑体"/>
          <w:b w:val="0"/>
          <w:bCs w:val="0"/>
          <w:spacing w:val="-1"/>
          <w:sz w:val="21"/>
          <w:szCs w:val="21"/>
          <w:highlight w:val="none"/>
          <w:shd w:val="clear" w:color="auto" w:fill="auto"/>
        </w:rPr>
        <w:t>医疗质量管理体系：</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医院应将神经内科纳入整体医疗质量管理体系，制定科室质量与安全管理方案。建立质 量管理小组，科主任负总责，质控医师、护士长等参与，定期监督检查医疗质量。制定明确的质量评估指标，包括：诊疗规范执行率、重要检查阳性检出率、会诊及时率、双向转诊成功率、患者满意度等，并设定目标值。质量管理小组应每月或每季度收集相关数据，通过电子信息系统汇总统计质量指标。利用统计结果召开质量分析会，查找影响质量的薄弱环节，提出改进措施并跟踪落实。对于质控中发现的医疗安全隐患（如药物不良反应、护理安全事件等），应及时整改并完善流程，防止再次发生。</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firstLine="0" w:firstLineChars="0"/>
        <w:jc w:val="both"/>
        <w:textAlignment w:val="baseline"/>
        <w:rPr>
          <w:rFonts w:hint="eastAsia" w:ascii="黑体" w:hAnsi="黑体" w:eastAsia="黑体" w:cs="黑体"/>
          <w:b w:val="0"/>
          <w:bCs w:val="0"/>
          <w:spacing w:val="-1"/>
          <w:sz w:val="21"/>
          <w:szCs w:val="21"/>
          <w:highlight w:val="none"/>
          <w:shd w:val="clear" w:color="auto" w:fill="auto"/>
        </w:rPr>
      </w:pPr>
      <w:r>
        <w:rPr>
          <w:rFonts w:hint="eastAsia" w:ascii="黑体" w:hAnsi="黑体" w:eastAsia="黑体" w:cs="黑体"/>
          <w:b w:val="0"/>
          <w:bCs w:val="0"/>
          <w:spacing w:val="17"/>
          <w:sz w:val="21"/>
          <w:szCs w:val="21"/>
          <w:highlight w:val="none"/>
          <w:shd w:val="clear" w:color="auto" w:fill="auto"/>
        </w:rPr>
        <w:t xml:space="preserve"> </w:t>
      </w:r>
      <w:r>
        <w:rPr>
          <w:rFonts w:hint="eastAsia" w:ascii="黑体" w:hAnsi="黑体" w:eastAsia="黑体" w:cs="黑体"/>
          <w:b w:val="0"/>
          <w:bCs w:val="0"/>
          <w:spacing w:val="-1"/>
          <w:sz w:val="21"/>
          <w:szCs w:val="21"/>
          <w:highlight w:val="none"/>
          <w:shd w:val="clear" w:color="auto" w:fill="auto"/>
        </w:rPr>
        <w:t>患者安全与风险防范：</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针对神经精神共患患者的特殊风险，应制定专门的安全防范措施。</w:t>
      </w:r>
    </w:p>
    <w:p>
      <w:pPr>
        <w:pStyle w:val="20"/>
        <w:keepNext w:val="0"/>
        <w:keepLines w:val="0"/>
        <w:pageBreakBefore w:val="0"/>
        <w:widowControl/>
        <w:numPr>
          <w:ilvl w:val="0"/>
          <w:numId w:val="18"/>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自杀和冲动 风险：合并抑郁、精神病性症状的神经科患者，应进行自杀风险评估。病房采取安全管理，如严格管理危险物  品，加强巡视。必要时为高危患者安排一对一看护。</w:t>
      </w:r>
    </w:p>
    <w:p>
      <w:pPr>
        <w:pStyle w:val="20"/>
        <w:keepNext w:val="0"/>
        <w:keepLines w:val="0"/>
        <w:pageBreakBefore w:val="0"/>
        <w:widowControl/>
        <w:numPr>
          <w:ilvl w:val="0"/>
          <w:numId w:val="18"/>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癫痫发作安全：癫痫患者注意床边防坠措施，配备床挡，护士熟知发作时保护要点和紧急处理流程。</w:t>
      </w:r>
    </w:p>
    <w:p>
      <w:pPr>
        <w:pStyle w:val="20"/>
        <w:keepNext w:val="0"/>
        <w:keepLines w:val="0"/>
        <w:pageBreakBefore w:val="0"/>
        <w:widowControl/>
        <w:numPr>
          <w:ilvl w:val="0"/>
          <w:numId w:val="18"/>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用药安全：关注多种药物联合使用的安全性。神经科药物 与精神科药物可能相互作用，应使用信息系统辅助核对，防止配伍禁忌和严重不良反应。定期开展用药检查，药师参与审核处方。</w:t>
      </w:r>
    </w:p>
    <w:p>
      <w:pPr>
        <w:pStyle w:val="20"/>
        <w:keepNext w:val="0"/>
        <w:keepLines w:val="0"/>
        <w:pageBreakBefore w:val="0"/>
        <w:widowControl/>
        <w:numPr>
          <w:ilvl w:val="0"/>
          <w:numId w:val="18"/>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应急预案：制定神经内科常见危急情况的处置流程，如癫痫持续状态、急性脑卒中、 恶性精神行为发作等。定期组织医护人员培训和应急演练，提高突发事件下的反应能力。</w:t>
      </w:r>
    </w:p>
    <w:p>
      <w:pPr>
        <w:pStyle w:val="20"/>
        <w:keepNext w:val="0"/>
        <w:keepLines w:val="0"/>
        <w:pageBreakBefore w:val="0"/>
        <w:widowControl/>
        <w:numPr>
          <w:ilvl w:val="0"/>
          <w:numId w:val="18"/>
        </w:numPr>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pPr>
      <w:r>
        <w:rPr>
          <w:rFonts w:hint="default" w:ascii="Times New Roman" w:hAnsi="Times New Roman" w:eastAsia="宋体" w:cs="Times New Roman"/>
          <w:color w:val="000000"/>
          <w:sz w:val="21"/>
          <w:szCs w:val="22"/>
          <w:highlight w:val="none"/>
          <w:lang w:val="en-US" w:eastAsia="zh-CN" w:bidi="ar-SA"/>
        </w:rPr>
        <w:t>感染控制：神经科有创操作（腰穿、肌电图针极检查等）严格执行无菌操作规程，防范院内感染。加强病区消毒隔离措施，预  防常见医院感染的发生。</w:t>
      </w:r>
    </w:p>
    <w:p>
      <w:pPr>
        <w:pStyle w:val="20"/>
        <w:keepNext w:val="0"/>
        <w:keepLines w:val="0"/>
        <w:pageBreakBefore w:val="0"/>
        <w:widowControl/>
        <w:numPr>
          <w:ilvl w:val="1"/>
          <w:numId w:val="9"/>
        </w:numPr>
        <w:kinsoku w:val="0"/>
        <w:wordWrap/>
        <w:overflowPunct/>
        <w:topLinePunct w:val="0"/>
        <w:autoSpaceDE w:val="0"/>
        <w:autoSpaceDN w:val="0"/>
        <w:bidi w:val="0"/>
        <w:adjustRightInd w:val="0"/>
        <w:snapToGrid w:val="0"/>
        <w:spacing w:line="360" w:lineRule="auto"/>
        <w:ind w:left="0" w:leftChars="0" w:right="7" w:firstLine="0" w:firstLineChars="0"/>
        <w:jc w:val="both"/>
        <w:textAlignment w:val="baseline"/>
        <w:rPr>
          <w:rFonts w:hint="eastAsia" w:ascii="黑体" w:hAnsi="黑体" w:eastAsia="黑体" w:cs="黑体"/>
          <w:sz w:val="21"/>
          <w:szCs w:val="21"/>
          <w:highlight w:val="none"/>
          <w:shd w:val="clear" w:color="auto" w:fill="auto"/>
        </w:rPr>
      </w:pPr>
      <w:r>
        <w:rPr>
          <w:rFonts w:hint="eastAsia" w:ascii="黑体" w:hAnsi="黑体" w:eastAsia="黑体" w:cs="黑体"/>
          <w:b w:val="0"/>
          <w:bCs w:val="0"/>
          <w:sz w:val="21"/>
          <w:szCs w:val="21"/>
          <w:highlight w:val="none"/>
          <w:shd w:val="clear" w:color="auto" w:fill="auto"/>
        </w:rPr>
        <w:t>持续改进与监管评估</w:t>
      </w:r>
      <w:r>
        <w:rPr>
          <w:rFonts w:hint="eastAsia" w:ascii="黑体" w:hAnsi="黑体" w:eastAsia="黑体" w:cs="黑体"/>
          <w:sz w:val="21"/>
          <w:szCs w:val="21"/>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25" w:firstLine="420" w:firstLineChars="200"/>
        <w:jc w:val="both"/>
        <w:textAlignment w:val="baseline"/>
        <w:rPr>
          <w:rFonts w:hint="default" w:ascii="Times New Roman" w:hAnsi="Times New Roman" w:eastAsia="宋体" w:cs="Times New Roman"/>
          <w:color w:val="000000"/>
          <w:sz w:val="21"/>
          <w:szCs w:val="22"/>
          <w:highlight w:val="none"/>
          <w:lang w:val="en-US" w:eastAsia="zh-CN" w:bidi="ar-SA"/>
        </w:rPr>
        <w:sectPr>
          <w:footerReference r:id="rId10" w:type="default"/>
          <w:pgSz w:w="11906" w:h="16838"/>
          <w:pgMar w:top="1431" w:right="1560" w:bottom="782" w:left="1560" w:header="0" w:footer="594" w:gutter="0"/>
          <w:cols w:space="720" w:num="1"/>
        </w:sectPr>
      </w:pPr>
      <w:r>
        <w:rPr>
          <w:rFonts w:hint="default" w:ascii="Times New Roman" w:hAnsi="Times New Roman" w:eastAsia="宋体" w:cs="Times New Roman"/>
          <w:color w:val="000000"/>
          <w:sz w:val="21"/>
          <w:szCs w:val="22"/>
          <w:highlight w:val="none"/>
          <w:lang w:val="en-US" w:eastAsia="zh-CN" w:bidi="ar-SA"/>
        </w:rPr>
        <w:t>质量管理应是持续循环的改进过程。建立不良事件报告制度，鼓励医务人员报告诊疗 过程中的差错和近乎差错事件，进行根因分析和经验教训反馈，持续优化流程。制定患者和家属满意度调查机  制，收集服务意见，不断改善患者就医体验。医院管理层和质控部门应将神经内科建设纳入重点督导范围，定  期组织院内评估或第三方评价。对于评估中发现的问题，及时制定整改措施，并在下一个周期评估改进效   果。必要时，上级主管部门可对科室建设情况进行专项检查和评估，确保各项建设指标达到要求。此外，完善行业监管机制，卫生行政部门应制定和更新精神专科医院开展神经内科服务的相关标准与规范，并通 过质控中心等机构对医疗质量进行监督指导。鼓励建立患者投诉和反馈渠道，患者及家属可就诊疗过程中 的问题提出意见，医疗机构及时受理和整改。通过内部质控与外部监管相结合，保障神经内科医疗工作安 全、有序、优质地开展。</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7"/>
        <w:jc w:val="both"/>
        <w:textAlignment w:val="baseline"/>
        <w:rPr>
          <w:rFonts w:hint="default" w:ascii="Times New Roman" w:hAnsi="Times New Roman" w:eastAsia="宋体" w:cs="Times New Roman"/>
          <w:spacing w:val="-3"/>
          <w:sz w:val="24"/>
          <w:szCs w:val="24"/>
          <w:highlight w:val="none"/>
          <w:shd w:val="clear" w:color="auto" w:fill="auto"/>
        </w:rPr>
      </w:pPr>
    </w:p>
    <w:p>
      <w:pPr>
        <w:pStyle w:val="168"/>
        <w:numPr>
          <w:ilvl w:val="1"/>
          <w:numId w:val="0"/>
        </w:numPr>
        <w:spacing w:before="240" w:beforeLines="100" w:after="240" w:afterLines="100" w:line="360" w:lineRule="exact"/>
        <w:ind w:leftChars="0"/>
        <w:jc w:val="center"/>
        <w:outlineLvl w:val="0"/>
        <w:rPr>
          <w:rFonts w:hint="eastAsia" w:ascii="Times New Roman"/>
          <w:highlight w:val="none"/>
          <w:lang w:val="en-US" w:eastAsia="zh-CN"/>
        </w:rPr>
      </w:pPr>
      <w:r>
        <w:rPr>
          <w:rFonts w:hint="default" w:ascii="Times New Roman"/>
          <w:highlight w:val="none"/>
        </w:rPr>
        <w:t>附录</w:t>
      </w:r>
      <w:r>
        <w:rPr>
          <w:rFonts w:hint="default" w:ascii="Times New Roman"/>
          <w:highlight w:val="none"/>
          <w:lang w:val="en-US" w:eastAsia="zh-CN"/>
        </w:rPr>
        <w:t xml:space="preserve"> </w:t>
      </w:r>
      <w:r>
        <w:rPr>
          <w:rFonts w:hint="eastAsia" w:ascii="Times New Roman"/>
          <w:highlight w:val="none"/>
          <w:lang w:val="en-US" w:eastAsia="zh-CN"/>
        </w:rPr>
        <w:t>A</w:t>
      </w:r>
    </w:p>
    <w:p>
      <w:pPr>
        <w:pStyle w:val="169"/>
        <w:jc w:val="center"/>
        <w:rPr>
          <w:rFonts w:hint="default"/>
          <w:highlight w:val="none"/>
          <w:lang w:val="en-US" w:eastAsia="zh-CN"/>
        </w:rPr>
      </w:pPr>
      <w:r>
        <w:rPr>
          <w:rFonts w:hint="eastAsia" w:ascii="Times New Roman"/>
          <w:highlight w:val="none"/>
          <w:lang w:val="en-US" w:eastAsia="zh-CN"/>
        </w:rPr>
        <w:t>资料性附录</w:t>
      </w:r>
    </w:p>
    <w:p>
      <w:pPr>
        <w:pStyle w:val="168"/>
        <w:numPr>
          <w:ilvl w:val="1"/>
          <w:numId w:val="0"/>
        </w:numPr>
        <w:spacing w:before="240" w:beforeLines="100" w:after="240" w:afterLines="100" w:line="360" w:lineRule="exact"/>
        <w:ind w:leftChars="0"/>
        <w:jc w:val="center"/>
        <w:outlineLvl w:val="0"/>
        <w:rPr>
          <w:rFonts w:hint="default" w:ascii="Times New Roman"/>
          <w:highlight w:val="none"/>
        </w:rPr>
      </w:pPr>
      <w:r>
        <w:rPr>
          <w:rFonts w:hint="default" w:ascii="Times New Roman"/>
          <w:highlight w:val="none"/>
        </w:rPr>
        <w:t>常见神经精神共患疾病管理要点</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7" w:firstLine="416"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pacing w:val="-1"/>
          <w:sz w:val="21"/>
          <w:szCs w:val="21"/>
          <w:highlight w:val="none"/>
          <w:shd w:val="clear" w:color="auto" w:fill="auto"/>
        </w:rPr>
        <w:t>本附录提供几类精神专科医院常见的神经精神交叉疾病的诊疗管理要点，作为对正文的补充说明和参考。</w:t>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2"/>
        <w:rPr>
          <w:rFonts w:hint="eastAsia" w:ascii="黑体" w:hAnsi="黑体" w:eastAsia="黑体" w:cs="黑体"/>
          <w:sz w:val="21"/>
          <w:szCs w:val="21"/>
          <w:highlight w:val="none"/>
          <w:shd w:val="clear" w:color="auto" w:fill="auto"/>
        </w:rPr>
      </w:pPr>
      <w:r>
        <w:rPr>
          <w:rFonts w:hint="eastAsia" w:ascii="黑体" w:hAnsi="黑体" w:eastAsia="黑体" w:cs="黑体"/>
          <w:b w:val="0"/>
          <w:bCs w:val="0"/>
          <w:spacing w:val="-2"/>
          <w:sz w:val="21"/>
          <w:szCs w:val="21"/>
          <w:highlight w:val="none"/>
          <w:shd w:val="clear" w:color="auto" w:fill="auto"/>
          <w:lang w:val="en-US" w:eastAsia="zh-CN"/>
        </w:rPr>
        <w:t>A</w:t>
      </w:r>
      <w:r>
        <w:rPr>
          <w:rFonts w:hint="eastAsia" w:ascii="黑体" w:hAnsi="黑体" w:eastAsia="黑体" w:cs="黑体"/>
          <w:b w:val="0"/>
          <w:bCs w:val="0"/>
          <w:spacing w:val="-2"/>
          <w:sz w:val="21"/>
          <w:szCs w:val="21"/>
          <w:highlight w:val="none"/>
          <w:shd w:val="clear" w:color="auto" w:fill="auto"/>
        </w:rPr>
        <w:t>.1</w:t>
      </w:r>
      <w:r>
        <w:rPr>
          <w:rFonts w:hint="eastAsia" w:ascii="黑体" w:hAnsi="黑体" w:eastAsia="黑体" w:cs="黑体"/>
          <w:b w:val="0"/>
          <w:bCs w:val="0"/>
          <w:spacing w:val="-6"/>
          <w:sz w:val="21"/>
          <w:szCs w:val="21"/>
          <w:highlight w:val="none"/>
          <w:shd w:val="clear" w:color="auto" w:fill="auto"/>
        </w:rPr>
        <w:t xml:space="preserve"> </w:t>
      </w:r>
      <w:r>
        <w:rPr>
          <w:rFonts w:hint="eastAsia" w:ascii="黑体" w:hAnsi="黑体" w:eastAsia="黑体" w:cs="黑体"/>
          <w:b w:val="0"/>
          <w:bCs w:val="0"/>
          <w:spacing w:val="-2"/>
          <w:sz w:val="21"/>
          <w:szCs w:val="21"/>
          <w:highlight w:val="none"/>
          <w:shd w:val="clear" w:color="auto" w:fill="auto"/>
        </w:rPr>
        <w:t>脑卒中后抑郁和焦虑</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脑卒中后抑郁（post-stroke</w:t>
      </w:r>
      <w:r>
        <w:rPr>
          <w:rFonts w:hint="default" w:ascii="Times New Roman" w:hAnsi="Times New Roman" w:eastAsia="宋体" w:cs="Times New Roman"/>
          <w:spacing w:val="29"/>
          <w:sz w:val="21"/>
          <w:szCs w:val="21"/>
          <w:highlight w:val="none"/>
          <w:shd w:val="clear" w:color="auto" w:fill="auto"/>
        </w:rPr>
        <w:t xml:space="preserve"> </w:t>
      </w:r>
      <w:r>
        <w:rPr>
          <w:rFonts w:hint="default" w:ascii="Times New Roman" w:hAnsi="Times New Roman" w:eastAsia="宋体" w:cs="Times New Roman"/>
          <w:sz w:val="21"/>
          <w:szCs w:val="21"/>
          <w:highlight w:val="none"/>
          <w:shd w:val="clear" w:color="auto" w:fill="auto"/>
        </w:rPr>
        <w:t>depression,</w:t>
      </w:r>
      <w:r>
        <w:rPr>
          <w:rFonts w:hint="default" w:ascii="Times New Roman" w:hAnsi="Times New Roman" w:eastAsia="宋体" w:cs="Times New Roman"/>
          <w:spacing w:val="37"/>
          <w:sz w:val="21"/>
          <w:szCs w:val="21"/>
          <w:highlight w:val="none"/>
          <w:shd w:val="clear" w:color="auto" w:fill="auto"/>
        </w:rPr>
        <w:t xml:space="preserve"> </w:t>
      </w:r>
      <w:r>
        <w:rPr>
          <w:rFonts w:hint="default" w:ascii="Times New Roman" w:hAnsi="Times New Roman" w:eastAsia="宋体" w:cs="Times New Roman"/>
          <w:sz w:val="21"/>
          <w:szCs w:val="21"/>
          <w:highlight w:val="none"/>
          <w:shd w:val="clear" w:color="auto" w:fill="auto"/>
        </w:rPr>
        <w:t>PS</w:t>
      </w:r>
      <w:r>
        <w:rPr>
          <w:rFonts w:hint="default" w:ascii="Times New Roman" w:hAnsi="Times New Roman" w:eastAsia="宋体" w:cs="Times New Roman"/>
          <w:spacing w:val="-1"/>
          <w:sz w:val="21"/>
          <w:szCs w:val="21"/>
          <w:highlight w:val="none"/>
          <w:shd w:val="clear" w:color="auto" w:fill="auto"/>
        </w:rPr>
        <w:t>D）是脑卒中最常见的精神障碍并发症之一，也包括卒中后出现的</w:t>
      </w:r>
      <w:r>
        <w:rPr>
          <w:rFonts w:hint="default" w:ascii="Times New Roman" w:hAnsi="Times New Roman" w:eastAsia="宋体" w:cs="Times New Roman"/>
          <w:spacing w:val="8"/>
          <w:sz w:val="21"/>
          <w:szCs w:val="21"/>
          <w:highlight w:val="none"/>
          <w:shd w:val="clear" w:color="auto" w:fill="auto"/>
        </w:rPr>
        <w:t>焦虑障碍。卒中后1～6个月是抑郁发作高峰期，约30%～50%的卒中患者在病程中出现不同程度的抑郁症</w:t>
      </w:r>
      <w:r>
        <w:rPr>
          <w:rFonts w:hint="default" w:ascii="Times New Roman" w:hAnsi="Times New Roman" w:eastAsia="宋体" w:cs="Times New Roman"/>
          <w:spacing w:val="4"/>
          <w:sz w:val="21"/>
          <w:szCs w:val="21"/>
          <w:highlight w:val="none"/>
          <w:shd w:val="clear" w:color="auto" w:fill="auto"/>
        </w:rPr>
        <w:t>状</w:t>
      </w:r>
      <w:r>
        <w:rPr>
          <w:rFonts w:hint="eastAsia" w:ascii="Times New Roman" w:hAnsi="Times New Roman" w:cs="Times New Roman"/>
          <w:sz w:val="21"/>
          <w:szCs w:val="21"/>
          <w:highlight w:val="none"/>
          <w:shd w:val="clear" w:color="auto" w:fill="auto"/>
          <w:vertAlign w:val="superscript"/>
          <w:lang w:val="en-US" w:eastAsia="zh-CN"/>
        </w:rPr>
        <w:t>[3]</w:t>
      </w:r>
      <w:r>
        <w:rPr>
          <w:rFonts w:hint="default" w:ascii="Times New Roman" w:hAnsi="Times New Roman" w:eastAsia="宋体" w:cs="Times New Roman"/>
          <w:spacing w:val="4"/>
          <w:sz w:val="21"/>
          <w:szCs w:val="21"/>
          <w:highlight w:val="none"/>
          <w:shd w:val="clear" w:color="auto" w:fill="auto"/>
        </w:rPr>
        <w:t>。为提高患者功能康复效果，应对所有卒中患者进行精神心理评估：在卒中发病后2周内开始用患者健康</w:t>
      </w:r>
      <w:r>
        <w:rPr>
          <w:rFonts w:hint="default" w:ascii="Times New Roman" w:hAnsi="Times New Roman" w:eastAsia="宋体" w:cs="Times New Roman"/>
          <w:sz w:val="21"/>
          <w:szCs w:val="21"/>
          <w:highlight w:val="none"/>
          <w:shd w:val="clear" w:color="auto" w:fill="auto"/>
        </w:rPr>
        <w:t xml:space="preserve"> </w:t>
      </w:r>
      <w:r>
        <w:rPr>
          <w:rFonts w:hint="default" w:ascii="Times New Roman" w:hAnsi="Times New Roman" w:eastAsia="宋体" w:cs="Times New Roman"/>
          <w:spacing w:val="2"/>
          <w:sz w:val="21"/>
          <w:szCs w:val="21"/>
          <w:highlight w:val="none"/>
          <w:shd w:val="clear" w:color="auto" w:fill="auto"/>
        </w:rPr>
        <w:t>问卷抑郁量表（</w:t>
      </w:r>
      <w:r>
        <w:rPr>
          <w:rFonts w:hint="default" w:ascii="Times New Roman" w:hAnsi="Times New Roman" w:eastAsia="宋体" w:cs="Times New Roman"/>
          <w:sz w:val="21"/>
          <w:szCs w:val="21"/>
          <w:highlight w:val="none"/>
          <w:shd w:val="clear" w:color="auto" w:fill="auto"/>
        </w:rPr>
        <w:t>PHQ</w:t>
      </w:r>
      <w:r>
        <w:rPr>
          <w:rFonts w:hint="default" w:ascii="Times New Roman" w:hAnsi="Times New Roman" w:eastAsia="宋体" w:cs="Times New Roman"/>
          <w:spacing w:val="2"/>
          <w:sz w:val="21"/>
          <w:szCs w:val="21"/>
          <w:highlight w:val="none"/>
          <w:shd w:val="clear" w:color="auto" w:fill="auto"/>
        </w:rPr>
        <w:t>-9）或汉密尔顿抑郁量表等工具筛查抑郁情绪，并于3个月、6个月</w:t>
      </w:r>
      <w:r>
        <w:rPr>
          <w:rFonts w:hint="default" w:ascii="Times New Roman" w:hAnsi="Times New Roman" w:eastAsia="宋体" w:cs="Times New Roman"/>
          <w:spacing w:val="1"/>
          <w:sz w:val="21"/>
          <w:szCs w:val="21"/>
          <w:highlight w:val="none"/>
          <w:shd w:val="clear" w:color="auto" w:fill="auto"/>
        </w:rPr>
        <w:t>随访时复评。诊断卒中</w:t>
      </w:r>
      <w:r>
        <w:rPr>
          <w:rFonts w:hint="default" w:ascii="Times New Roman" w:hAnsi="Times New Roman" w:eastAsia="宋体" w:cs="Times New Roman"/>
          <w:sz w:val="21"/>
          <w:szCs w:val="21"/>
          <w:highlight w:val="none"/>
          <w:shd w:val="clear" w:color="auto" w:fill="auto"/>
        </w:rPr>
        <w:t xml:space="preserve">  后抑郁应满足卒中病史和抑郁障碍诊断标准，注意鉴别脑损伤导致的情感易变等症状。治疗上，抗抑郁药物为  一线选择：选择性5-羟色胺再摄取抑制剂（SSRIs，如舍曲林</w:t>
      </w:r>
      <w:r>
        <w:rPr>
          <w:rFonts w:hint="default" w:ascii="Times New Roman" w:hAnsi="Times New Roman" w:eastAsia="宋体" w:cs="Times New Roman"/>
          <w:sz w:val="21"/>
          <w:szCs w:val="21"/>
          <w:highlight w:val="none"/>
          <w:shd w:val="clear" w:color="auto" w:fill="auto"/>
          <w:lang w:eastAsia="zh-CN"/>
        </w:rPr>
        <w:t>、</w:t>
      </w:r>
      <w:r>
        <w:rPr>
          <w:rFonts w:hint="default" w:ascii="Times New Roman" w:hAnsi="Times New Roman" w:eastAsia="宋体" w:cs="Times New Roman"/>
          <w:sz w:val="21"/>
          <w:szCs w:val="21"/>
          <w:highlight w:val="none"/>
          <w:shd w:val="clear" w:color="auto" w:fill="auto"/>
          <w:lang w:val="en-US" w:eastAsia="zh-CN"/>
        </w:rPr>
        <w:t>草酸艾司西酞普兰</w:t>
      </w:r>
      <w:r>
        <w:rPr>
          <w:rFonts w:hint="default" w:ascii="Times New Roman" w:hAnsi="Times New Roman" w:eastAsia="宋体" w:cs="Times New Roman"/>
          <w:sz w:val="21"/>
          <w:szCs w:val="21"/>
          <w:highlight w:val="none"/>
          <w:shd w:val="clear" w:color="auto" w:fill="auto"/>
        </w:rPr>
        <w:t>）因安全性高、耐受性好，常作为首选</w:t>
      </w:r>
      <w:r>
        <w:rPr>
          <w:rFonts w:hint="default" w:ascii="Times New Roman" w:hAnsi="Times New Roman" w:eastAsia="宋体" w:cs="Times New Roman"/>
          <w:sz w:val="21"/>
          <w:szCs w:val="21"/>
          <w:highlight w:val="none"/>
          <w:shd w:val="clear" w:color="auto" w:fill="auto"/>
          <w:lang w:val="en-US" w:eastAsia="zh-CN"/>
        </w:rPr>
        <w:t>药物</w:t>
      </w:r>
      <w:r>
        <w:rPr>
          <w:rFonts w:hint="default" w:ascii="Times New Roman" w:hAnsi="Times New Roman" w:eastAsia="宋体" w:cs="Times New Roman"/>
          <w:sz w:val="21"/>
          <w:szCs w:val="21"/>
          <w:highlight w:val="none"/>
          <w:shd w:val="clear" w:color="auto" w:fill="auto"/>
        </w:rPr>
        <w:t>。药物治疗同时应结合心理社会干预：给予心理支持和行为激励，帮助患者正确认识疾病，减轻因功能受限导致的悲观失望情绪。职业治疗师和康复师应指导患者参与力所能及的康复训练和日常活动，重建自我效能感。家庭支持也非常重要，向家属科普卒中后抑郁相关知识，鼓励家人给予关怀陪伴，协助监测患者情绪变化。对于高危患者（如既往有抑郁史、严重 肢体残障者），应在卒中急性期即介入心理评估，每周随访情绪变化，做到早期识别、及早干预。研究表明，及时有效的抗抑郁治疗不仅改善患者情绪，还可促进神经功能恢复、提高康复参与度，降低再次卒中及死亡风险</w:t>
      </w:r>
      <w:r>
        <w:rPr>
          <w:rFonts w:hint="default" w:ascii="Times New Roman" w:hAnsi="Times New Roman" w:eastAsia="宋体" w:cs="Times New Roman"/>
          <w:sz w:val="21"/>
          <w:szCs w:val="21"/>
          <w:highlight w:val="none"/>
          <w:shd w:val="clear" w:color="auto" w:fill="auto"/>
        </w:rPr>
        <w:fldChar w:fldCharType="begin"/>
      </w:r>
      <w:r>
        <w:rPr>
          <w:rFonts w:hint="default" w:ascii="Times New Roman" w:hAnsi="Times New Roman" w:eastAsia="宋体" w:cs="Times New Roman"/>
          <w:sz w:val="21"/>
          <w:szCs w:val="21"/>
          <w:highlight w:val="none"/>
          <w:shd w:val="clear" w:color="auto" w:fill="auto"/>
        </w:rPr>
        <w:instrText xml:space="preserve"> HYPERLINK "https://www.bjad.com.cn/Html/News/Articles/3763.html#:~:text=1" </w:instrText>
      </w:r>
      <w:r>
        <w:rPr>
          <w:rFonts w:hint="default" w:ascii="Times New Roman" w:hAnsi="Times New Roman" w:eastAsia="宋体" w:cs="Times New Roman"/>
          <w:sz w:val="21"/>
          <w:szCs w:val="21"/>
          <w:highlight w:val="none"/>
          <w:shd w:val="clear" w:color="auto" w:fill="auto"/>
        </w:rPr>
        <w:fldChar w:fldCharType="separate"/>
      </w:r>
      <w:r>
        <w:rPr>
          <w:rFonts w:hint="default" w:ascii="Times New Roman" w:hAnsi="Times New Roman" w:eastAsia="宋体" w:cs="Times New Roman"/>
          <w:color w:val="333333"/>
          <w:spacing w:val="4"/>
          <w:position w:val="3"/>
          <w:sz w:val="21"/>
          <w:szCs w:val="21"/>
          <w:highlight w:val="none"/>
          <w:shd w:val="clear" w:color="auto" w:fill="auto"/>
        </w:rPr>
        <w:t>3</w:t>
      </w:r>
      <w:r>
        <w:rPr>
          <w:rFonts w:hint="default" w:ascii="Times New Roman" w:hAnsi="Times New Roman" w:eastAsia="宋体" w:cs="Times New Roman"/>
          <w:color w:val="333333"/>
          <w:spacing w:val="4"/>
          <w:position w:val="3"/>
          <w:sz w:val="21"/>
          <w:szCs w:val="21"/>
          <w:highlight w:val="none"/>
          <w:shd w:val="clear" w:color="auto" w:fill="auto"/>
        </w:rPr>
        <w:fldChar w:fldCharType="end"/>
      </w:r>
      <w:r>
        <w:rPr>
          <w:rFonts w:hint="default" w:ascii="Times New Roman" w:hAnsi="Times New Roman" w:eastAsia="宋体" w:cs="Times New Roman"/>
          <w:sz w:val="21"/>
          <w:szCs w:val="21"/>
          <w:highlight w:val="none"/>
          <w:shd w:val="clear" w:color="auto" w:fill="auto"/>
        </w:rPr>
        <w:t>。因此，在卒中康复全过程中应将心理健康管理作为重要组成部分，由神经内</w:t>
      </w:r>
      <w:r>
        <w:rPr>
          <w:rFonts w:hint="default" w:ascii="Times New Roman" w:hAnsi="Times New Roman" w:eastAsia="宋体" w:cs="Times New Roman"/>
          <w:spacing w:val="4"/>
          <w:sz w:val="21"/>
          <w:szCs w:val="21"/>
          <w:highlight w:val="none"/>
          <w:shd w:val="clear" w:color="auto" w:fill="auto"/>
        </w:rPr>
        <w:t>科与</w:t>
      </w:r>
      <w:r>
        <w:rPr>
          <w:rFonts w:hint="default" w:ascii="Times New Roman" w:hAnsi="Times New Roman" w:eastAsia="宋体" w:cs="Times New Roman"/>
          <w:spacing w:val="-1"/>
          <w:sz w:val="21"/>
          <w:szCs w:val="21"/>
          <w:highlight w:val="none"/>
          <w:shd w:val="clear" w:color="auto" w:fill="auto"/>
        </w:rPr>
        <w:t>精神科协作，制定综合干预计划改善患者预后</w:t>
      </w:r>
      <w:r>
        <w:rPr>
          <w:rFonts w:hint="default" w:ascii="Times New Roman" w:hAnsi="Times New Roman" w:eastAsia="宋体" w:cs="Times New Roman"/>
          <w:spacing w:val="-2"/>
          <w:sz w:val="21"/>
          <w:szCs w:val="21"/>
          <w:highlight w:val="none"/>
          <w:shd w:val="clear" w:color="auto" w:fill="auto"/>
        </w:rPr>
        <w:t>和生活质量。</w:t>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2"/>
        <w:rPr>
          <w:rFonts w:hint="eastAsia" w:ascii="黑体" w:hAnsi="黑体" w:eastAsia="黑体" w:cs="黑体"/>
          <w:sz w:val="21"/>
          <w:szCs w:val="21"/>
          <w:highlight w:val="none"/>
          <w:shd w:val="clear" w:color="auto" w:fill="auto"/>
        </w:rPr>
      </w:pPr>
      <w:r>
        <w:rPr>
          <w:rFonts w:hint="eastAsia" w:ascii="黑体" w:hAnsi="黑体" w:eastAsia="黑体" w:cs="黑体"/>
          <w:b/>
          <w:bCs/>
          <w:spacing w:val="-1"/>
          <w:sz w:val="21"/>
          <w:szCs w:val="21"/>
          <w:highlight w:val="none"/>
          <w:shd w:val="clear" w:color="auto" w:fill="auto"/>
          <w:lang w:val="en-US" w:eastAsia="zh-CN"/>
        </w:rPr>
        <w:t>A.2</w:t>
      </w:r>
      <w:r>
        <w:rPr>
          <w:rFonts w:hint="eastAsia" w:ascii="黑体" w:hAnsi="黑体" w:eastAsia="黑体" w:cs="黑体"/>
          <w:b w:val="0"/>
          <w:bCs w:val="0"/>
          <w:spacing w:val="-1"/>
          <w:sz w:val="21"/>
          <w:szCs w:val="21"/>
          <w:highlight w:val="none"/>
          <w:shd w:val="clear" w:color="auto" w:fill="auto"/>
        </w:rPr>
        <w:t>脑炎、癫痫及脑外伤所致精神障碍</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77" w:hanging="2"/>
        <w:jc w:val="both"/>
        <w:textAlignment w:val="baseline"/>
        <w:rPr>
          <w:rFonts w:hint="eastAsia" w:ascii="黑体" w:hAnsi="黑体" w:eastAsia="黑体" w:cs="黑体"/>
          <w:sz w:val="21"/>
          <w:szCs w:val="21"/>
          <w:highlight w:val="none"/>
          <w:shd w:val="clear" w:color="auto" w:fill="auto"/>
        </w:rPr>
      </w:pPr>
      <w:r>
        <w:rPr>
          <w:rFonts w:hint="eastAsia" w:ascii="黑体" w:hAnsi="黑体" w:eastAsia="黑体" w:cs="黑体"/>
          <w:b w:val="0"/>
          <w:bCs w:val="0"/>
          <w:sz w:val="21"/>
          <w:szCs w:val="21"/>
          <w:highlight w:val="none"/>
          <w:shd w:val="clear" w:color="auto" w:fill="auto"/>
          <w:lang w:val="en-US" w:eastAsia="zh-CN"/>
        </w:rPr>
        <w:t>A.2.1</w:t>
      </w:r>
      <w:r>
        <w:rPr>
          <w:rFonts w:hint="eastAsia" w:ascii="黑体" w:hAnsi="黑体" w:eastAsia="黑体" w:cs="黑体"/>
          <w:b w:val="0"/>
          <w:bCs w:val="0"/>
          <w:sz w:val="21"/>
          <w:szCs w:val="21"/>
          <w:highlight w:val="none"/>
          <w:shd w:val="clear" w:color="auto" w:fill="auto"/>
        </w:rPr>
        <w:t>脑炎所致精神障碍</w:t>
      </w:r>
      <w:r>
        <w:rPr>
          <w:rFonts w:hint="eastAsia" w:ascii="黑体" w:hAnsi="黑体" w:eastAsia="黑体" w:cs="黑体"/>
          <w:sz w:val="21"/>
          <w:szCs w:val="21"/>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各种中枢神经系统炎症（包括自身免疫性脑炎和感染性脑炎</w:t>
      </w:r>
      <w:r>
        <w:rPr>
          <w:rFonts w:hint="default" w:ascii="Times New Roman" w:hAnsi="Times New Roman" w:eastAsia="宋体" w:cs="Times New Roman"/>
          <w:spacing w:val="0"/>
          <w:sz w:val="21"/>
          <w:szCs w:val="21"/>
          <w:highlight w:val="none"/>
          <w:shd w:val="clear" w:color="auto" w:fill="auto"/>
        </w:rPr>
        <w:t>）均可能引起明显的精神症</w:t>
      </w:r>
      <w:r>
        <w:rPr>
          <w:rFonts w:hint="default" w:ascii="Times New Roman" w:hAnsi="Times New Roman" w:eastAsia="宋体" w:cs="Times New Roman"/>
          <w:sz w:val="21"/>
          <w:szCs w:val="21"/>
          <w:highlight w:val="none"/>
          <w:shd w:val="clear" w:color="auto" w:fill="auto"/>
        </w:rPr>
        <w:t xml:space="preserve">  </w:t>
      </w:r>
      <w:r>
        <w:rPr>
          <w:rFonts w:hint="default" w:ascii="Times New Roman" w:hAnsi="Times New Roman" w:eastAsia="宋体" w:cs="Times New Roman"/>
          <w:spacing w:val="0"/>
          <w:sz w:val="21"/>
          <w:szCs w:val="21"/>
          <w:highlight w:val="none"/>
          <w:shd w:val="clear" w:color="auto" w:fill="auto"/>
        </w:rPr>
        <w:t>状。特别是自身免疫性脑炎（如抗</w:t>
      </w:r>
      <w:r>
        <w:rPr>
          <w:rFonts w:hint="default" w:ascii="Times New Roman" w:hAnsi="Times New Roman" w:eastAsia="宋体" w:cs="Times New Roman"/>
          <w:sz w:val="21"/>
          <w:szCs w:val="21"/>
          <w:highlight w:val="none"/>
          <w:shd w:val="clear" w:color="auto" w:fill="auto"/>
        </w:rPr>
        <w:t>NMDA</w:t>
      </w:r>
      <w:r>
        <w:rPr>
          <w:rFonts w:hint="default" w:ascii="Times New Roman" w:hAnsi="Times New Roman" w:eastAsia="宋体" w:cs="Times New Roman"/>
          <w:spacing w:val="0"/>
          <w:sz w:val="21"/>
          <w:szCs w:val="21"/>
          <w:highlight w:val="none"/>
          <w:shd w:val="clear" w:color="auto" w:fill="auto"/>
        </w:rPr>
        <w:t>受体脑炎）常以急性精神行为异常起病，伴随癫痫发作、认知功能障碍等。精神专科医院收治的不明原因急性精神病性障碍患者中，应警惕脑炎的可能。诊疗要点是在急性起病、症状剧烈的患者中，尽早完善脑脊液检查、</w:t>
      </w:r>
      <w:r>
        <w:rPr>
          <w:rFonts w:hint="default" w:ascii="Times New Roman" w:hAnsi="Times New Roman" w:eastAsia="宋体" w:cs="Times New Roman"/>
          <w:spacing w:val="0"/>
          <w:sz w:val="21"/>
          <w:szCs w:val="21"/>
          <w:highlight w:val="none"/>
          <w:shd w:val="clear" w:color="auto" w:fill="auto"/>
          <w:lang w:val="en-US" w:eastAsia="zh-CN"/>
        </w:rPr>
        <w:t>自身免疫性脑炎抗体、</w:t>
      </w:r>
      <w:r>
        <w:rPr>
          <w:rFonts w:hint="default" w:ascii="Times New Roman" w:hAnsi="Times New Roman" w:eastAsia="宋体" w:cs="Times New Roman"/>
          <w:spacing w:val="0"/>
          <w:sz w:val="21"/>
          <w:szCs w:val="21"/>
          <w:highlight w:val="none"/>
          <w:shd w:val="clear" w:color="auto" w:fill="auto"/>
        </w:rPr>
        <w:t>脑电图和脑</w:t>
      </w:r>
      <w:r>
        <w:rPr>
          <w:rFonts w:hint="default" w:ascii="Times New Roman" w:hAnsi="Times New Roman" w:eastAsia="宋体" w:cs="Times New Roman"/>
          <w:sz w:val="21"/>
          <w:szCs w:val="21"/>
          <w:highlight w:val="none"/>
          <w:shd w:val="clear" w:color="auto" w:fill="auto"/>
        </w:rPr>
        <w:t>MRI</w:t>
      </w:r>
      <w:r>
        <w:rPr>
          <w:rFonts w:hint="default" w:ascii="Times New Roman" w:hAnsi="Times New Roman" w:eastAsia="宋体" w:cs="Times New Roman"/>
          <w:spacing w:val="0"/>
          <w:sz w:val="21"/>
          <w:szCs w:val="21"/>
          <w:highlight w:val="none"/>
          <w:shd w:val="clear" w:color="auto" w:fill="auto"/>
        </w:rPr>
        <w:t>等，以明确脑炎诊断</w:t>
      </w:r>
      <w:r>
        <w:rPr>
          <w:rFonts w:hint="default" w:ascii="Times New Roman" w:hAnsi="Times New Roman" w:eastAsia="宋体" w:cs="Times New Roman"/>
          <w:sz w:val="21"/>
          <w:szCs w:val="21"/>
          <w:highlight w:val="none"/>
          <w:shd w:val="clear" w:color="auto" w:fill="auto"/>
        </w:rPr>
        <w:t>。一旦确诊或高度怀疑脑炎，应尽快启动针对病因的治疗（如免疫球蛋白、激素冲击治疗等</w:t>
      </w:r>
      <w:r>
        <w:rPr>
          <w:rFonts w:hint="default" w:ascii="Times New Roman" w:hAnsi="Times New Roman" w:eastAsia="宋体" w:cs="Times New Roman"/>
          <w:spacing w:val="0"/>
          <w:sz w:val="21"/>
          <w:szCs w:val="21"/>
          <w:highlight w:val="none"/>
          <w:shd w:val="clear" w:color="auto" w:fill="auto"/>
        </w:rPr>
        <w:t>），</w:t>
      </w:r>
      <w:r>
        <w:rPr>
          <w:rFonts w:hint="default" w:ascii="Times New Roman" w:hAnsi="Times New Roman" w:eastAsia="宋体" w:cs="Times New Roman"/>
          <w:sz w:val="21"/>
          <w:szCs w:val="21"/>
          <w:highlight w:val="none"/>
          <w:shd w:val="clear" w:color="auto" w:fill="auto"/>
        </w:rPr>
        <w:t>同时给予对症的抗精神</w:t>
      </w:r>
      <w:r>
        <w:rPr>
          <w:rFonts w:hint="default" w:ascii="Times New Roman" w:hAnsi="Times New Roman" w:eastAsia="宋体" w:cs="Times New Roman"/>
          <w:spacing w:val="0"/>
          <w:sz w:val="21"/>
          <w:szCs w:val="21"/>
          <w:highlight w:val="none"/>
          <w:shd w:val="clear" w:color="auto" w:fill="auto"/>
        </w:rPr>
        <w:t>病药物控制症</w:t>
      </w:r>
      <w:r>
        <w:rPr>
          <w:rFonts w:hint="default" w:ascii="Times New Roman" w:hAnsi="Times New Roman" w:eastAsia="宋体" w:cs="Times New Roman"/>
          <w:sz w:val="21"/>
          <w:szCs w:val="21"/>
          <w:highlight w:val="none"/>
          <w:shd w:val="clear" w:color="auto" w:fill="auto"/>
        </w:rPr>
        <w:t>状。但需注意，某些脑炎患者对抗精神病药物敏感性增高，易出现锥体外系副作用，应慎重小</w:t>
      </w:r>
      <w:r>
        <w:rPr>
          <w:rFonts w:hint="default" w:ascii="Times New Roman" w:hAnsi="Times New Roman" w:eastAsia="宋体" w:cs="Times New Roman"/>
          <w:spacing w:val="0"/>
          <w:sz w:val="21"/>
          <w:szCs w:val="21"/>
          <w:highlight w:val="none"/>
          <w:shd w:val="clear" w:color="auto" w:fill="auto"/>
        </w:rPr>
        <w:t>剂量使用。抗</w:t>
      </w:r>
      <w:r>
        <w:rPr>
          <w:rFonts w:hint="default" w:ascii="Times New Roman" w:hAnsi="Times New Roman" w:eastAsia="宋体" w:cs="Times New Roman"/>
          <w:sz w:val="21"/>
          <w:szCs w:val="21"/>
          <w:highlight w:val="none"/>
          <w:shd w:val="clear" w:color="auto" w:fill="auto"/>
        </w:rPr>
        <w:t>NMDA</w:t>
      </w:r>
      <w:r>
        <w:rPr>
          <w:rFonts w:hint="default" w:ascii="Times New Roman" w:hAnsi="Times New Roman" w:eastAsia="宋体" w:cs="Times New Roman"/>
          <w:spacing w:val="0"/>
          <w:sz w:val="21"/>
          <w:szCs w:val="21"/>
          <w:highlight w:val="none"/>
          <w:shd w:val="clear" w:color="auto" w:fill="auto"/>
        </w:rPr>
        <w:t>受体脑炎患者常需</w:t>
      </w:r>
      <w:r>
        <w:rPr>
          <w:rFonts w:hint="default" w:ascii="Times New Roman" w:hAnsi="Times New Roman" w:eastAsia="宋体" w:cs="Times New Roman"/>
          <w:sz w:val="21"/>
          <w:szCs w:val="21"/>
          <w:highlight w:val="none"/>
          <w:shd w:val="clear" w:color="auto" w:fill="auto"/>
        </w:rPr>
        <w:t>ICU</w:t>
      </w:r>
      <w:r>
        <w:rPr>
          <w:rFonts w:hint="default" w:ascii="Times New Roman" w:hAnsi="Times New Roman" w:eastAsia="宋体" w:cs="Times New Roman"/>
          <w:spacing w:val="0"/>
          <w:sz w:val="21"/>
          <w:szCs w:val="21"/>
          <w:highlight w:val="none"/>
          <w:shd w:val="clear" w:color="auto" w:fill="auto"/>
        </w:rPr>
        <w:t>支持治疗，因此精神专科医院应预先建立与综合医院</w:t>
      </w:r>
      <w:r>
        <w:rPr>
          <w:rFonts w:hint="default" w:ascii="Times New Roman" w:hAnsi="Times New Roman" w:eastAsia="宋体" w:cs="Times New Roman"/>
          <w:sz w:val="21"/>
          <w:szCs w:val="21"/>
          <w:highlight w:val="none"/>
          <w:shd w:val="clear" w:color="auto" w:fill="auto"/>
        </w:rPr>
        <w:t>ICU</w:t>
      </w:r>
      <w:r>
        <w:rPr>
          <w:rFonts w:hint="default" w:ascii="Times New Roman" w:hAnsi="Times New Roman" w:eastAsia="宋体" w:cs="Times New Roman"/>
          <w:spacing w:val="0"/>
          <w:sz w:val="21"/>
          <w:szCs w:val="21"/>
          <w:highlight w:val="none"/>
          <w:shd w:val="clear" w:color="auto" w:fill="auto"/>
        </w:rPr>
        <w:t>的转诊协作，一旦患者病</w:t>
      </w:r>
      <w:r>
        <w:rPr>
          <w:rFonts w:hint="default" w:ascii="Times New Roman" w:hAnsi="Times New Roman" w:eastAsia="宋体" w:cs="Times New Roman"/>
          <w:sz w:val="21"/>
          <w:szCs w:val="21"/>
          <w:highlight w:val="none"/>
          <w:shd w:val="clear" w:color="auto" w:fill="auto"/>
        </w:rPr>
        <w:t>情超出本院救治能力，及时转院确保生命安全。早期识别和治疗脑炎所致精神障碍，可显著降低致残致死</w:t>
      </w:r>
      <w:r>
        <w:rPr>
          <w:rFonts w:hint="default" w:ascii="Times New Roman" w:hAnsi="Times New Roman" w:eastAsia="宋体" w:cs="Times New Roman"/>
          <w:spacing w:val="0"/>
          <w:sz w:val="21"/>
          <w:szCs w:val="21"/>
          <w:highlight w:val="none"/>
          <w:shd w:val="clear" w:color="auto" w:fill="auto"/>
        </w:rPr>
        <w:t>率，提高患者长期预后。</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4" w:right="78"/>
        <w:jc w:val="both"/>
        <w:textAlignment w:val="baseline"/>
        <w:rPr>
          <w:rFonts w:hint="eastAsia" w:ascii="黑体" w:hAnsi="黑体" w:eastAsia="黑体" w:cs="黑体"/>
          <w:spacing w:val="4"/>
          <w:sz w:val="21"/>
          <w:szCs w:val="21"/>
          <w:highlight w:val="none"/>
          <w:shd w:val="clear" w:color="auto" w:fill="auto"/>
        </w:rPr>
      </w:pPr>
      <w:r>
        <w:rPr>
          <w:rFonts w:hint="eastAsia" w:ascii="黑体" w:hAnsi="黑体" w:eastAsia="黑体" w:cs="黑体"/>
          <w:b w:val="0"/>
          <w:bCs w:val="0"/>
          <w:spacing w:val="4"/>
          <w:sz w:val="21"/>
          <w:szCs w:val="21"/>
          <w:highlight w:val="none"/>
          <w:shd w:val="clear" w:color="auto" w:fill="auto"/>
          <w:lang w:val="en-US" w:eastAsia="zh-CN"/>
        </w:rPr>
        <w:t>A.2.2</w:t>
      </w:r>
      <w:r>
        <w:rPr>
          <w:rFonts w:hint="eastAsia" w:ascii="黑体" w:hAnsi="黑体" w:eastAsia="黑体" w:cs="黑体"/>
          <w:b w:val="0"/>
          <w:bCs w:val="0"/>
          <w:spacing w:val="4"/>
          <w:sz w:val="21"/>
          <w:szCs w:val="21"/>
          <w:highlight w:val="none"/>
          <w:shd w:val="clear" w:color="auto" w:fill="auto"/>
        </w:rPr>
        <w:t>癫痫所致精神障碍</w:t>
      </w:r>
      <w:r>
        <w:rPr>
          <w:rFonts w:hint="eastAsia" w:ascii="黑体" w:hAnsi="黑体" w:eastAsia="黑体" w:cs="黑体"/>
          <w:spacing w:val="4"/>
          <w:sz w:val="21"/>
          <w:szCs w:val="21"/>
          <w:highlight w:val="none"/>
          <w:shd w:val="clear" w:color="auto" w:fill="auto"/>
        </w:rPr>
        <w:t>：</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pacing w:val="0"/>
          <w:sz w:val="21"/>
          <w:szCs w:val="21"/>
          <w:highlight w:val="none"/>
          <w:shd w:val="clear" w:color="auto" w:fill="auto"/>
        </w:rPr>
        <w:t>约1/3的癫痫患者在病程中合并不同程度的抑郁或焦虑障碍。有的癫痫发作本身也可表</w:t>
      </w:r>
      <w:r>
        <w:rPr>
          <w:rFonts w:hint="default" w:ascii="Times New Roman" w:hAnsi="Times New Roman" w:eastAsia="宋体" w:cs="Times New Roman"/>
          <w:sz w:val="21"/>
          <w:szCs w:val="21"/>
          <w:highlight w:val="none"/>
          <w:shd w:val="clear" w:color="auto" w:fill="auto"/>
        </w:rPr>
        <w:t xml:space="preserve"> 现为瞬间的情感、知觉异常甚至精神病性症状（如复杂部分性发作导致的短暂意识模糊、幻觉等）</w:t>
      </w:r>
      <w:r>
        <w:rPr>
          <w:rFonts w:hint="default" w:ascii="Times New Roman" w:hAnsi="Times New Roman" w:eastAsia="宋体" w:cs="Times New Roman"/>
          <w:spacing w:val="0"/>
          <w:sz w:val="21"/>
          <w:szCs w:val="21"/>
          <w:highlight w:val="none"/>
          <w:shd w:val="clear" w:color="auto" w:fill="auto"/>
        </w:rPr>
        <w:t>。对癫痫患</w:t>
      </w:r>
      <w:r>
        <w:rPr>
          <w:rFonts w:hint="default" w:ascii="Times New Roman" w:hAnsi="Times New Roman" w:eastAsia="宋体" w:cs="Times New Roman"/>
          <w:sz w:val="21"/>
          <w:szCs w:val="21"/>
          <w:highlight w:val="none"/>
          <w:shd w:val="clear" w:color="auto" w:fill="auto"/>
        </w:rPr>
        <w:t xml:space="preserve"> 者的管理应双管齐下：控制癫痫发作和干预伴发的精神症状并重。首先，应优化抗癫痫药物治疗方</w:t>
      </w:r>
      <w:r>
        <w:rPr>
          <w:rFonts w:hint="default" w:ascii="Times New Roman" w:hAnsi="Times New Roman" w:eastAsia="宋体" w:cs="Times New Roman"/>
          <w:spacing w:val="0"/>
          <w:sz w:val="21"/>
          <w:szCs w:val="21"/>
          <w:highlight w:val="none"/>
          <w:shd w:val="clear" w:color="auto" w:fill="auto"/>
        </w:rPr>
        <w:t>案，尽可能</w:t>
      </w:r>
      <w:r>
        <w:rPr>
          <w:rFonts w:hint="default" w:ascii="Times New Roman" w:hAnsi="Times New Roman" w:eastAsia="宋体" w:cs="Times New Roman"/>
          <w:sz w:val="21"/>
          <w:szCs w:val="21"/>
          <w:highlight w:val="none"/>
          <w:shd w:val="clear" w:color="auto" w:fill="auto"/>
        </w:rPr>
        <w:t xml:space="preserve"> </w:t>
      </w:r>
      <w:r>
        <w:rPr>
          <w:rFonts w:hint="default" w:ascii="Times New Roman" w:hAnsi="Times New Roman" w:eastAsia="宋体" w:cs="Times New Roman"/>
          <w:spacing w:val="0"/>
          <w:sz w:val="21"/>
          <w:szCs w:val="21"/>
          <w:highlight w:val="none"/>
          <w:shd w:val="clear" w:color="auto" w:fill="auto"/>
        </w:rPr>
        <w:t>使发作完全缓解，因为频繁发作会加重患者的抑郁焦虑状态。在癫痫稳定控制的基础上，针对共患的抑</w:t>
      </w:r>
      <w:r>
        <w:rPr>
          <w:rFonts w:hint="default" w:ascii="Times New Roman" w:hAnsi="Times New Roman" w:eastAsia="宋体" w:cs="Times New Roman"/>
          <w:sz w:val="21"/>
          <w:szCs w:val="21"/>
          <w:highlight w:val="none"/>
          <w:shd w:val="clear" w:color="auto" w:fill="auto"/>
        </w:rPr>
        <w:t>郁、焦虑，可选择相对兼容的抗抑郁药或抗焦虑药，例如选择SSRIs治疗癫痫患者的抑郁，被认为是安全且有效</w:t>
      </w:r>
      <w:r>
        <w:rPr>
          <w:rFonts w:hint="default" w:ascii="Times New Roman" w:hAnsi="Times New Roman" w:eastAsia="宋体" w:cs="Times New Roman"/>
          <w:spacing w:val="0"/>
          <w:sz w:val="21"/>
          <w:szCs w:val="21"/>
          <w:highlight w:val="none"/>
          <w:shd w:val="clear" w:color="auto" w:fill="auto"/>
        </w:rPr>
        <w:t xml:space="preserve"> </w:t>
      </w:r>
      <w:r>
        <w:rPr>
          <w:rFonts w:hint="default" w:ascii="Times New Roman" w:hAnsi="Times New Roman" w:eastAsia="宋体" w:cs="Times New Roman"/>
          <w:sz w:val="21"/>
          <w:szCs w:val="21"/>
          <w:highlight w:val="none"/>
          <w:shd w:val="clear" w:color="auto" w:fill="auto"/>
        </w:rPr>
        <w:t>的。避免使用对癫痫发作阈值有显著影响的精神药物，</w:t>
      </w:r>
      <w:r>
        <w:rPr>
          <w:rFonts w:hint="default" w:ascii="Times New Roman" w:hAnsi="Times New Roman" w:eastAsia="宋体" w:cs="Times New Roman"/>
          <w:spacing w:val="0"/>
          <w:sz w:val="21"/>
          <w:szCs w:val="21"/>
          <w:highlight w:val="none"/>
          <w:shd w:val="clear" w:color="auto" w:fill="auto"/>
        </w:rPr>
        <w:t>如需使用抗精神病药，优先考虑对癫痫影响小的品种（如喹硫平等）。此外，还应提供心理支持和社会功能康复，缓解癫痫患者因疾病带来的压力和污名感。精神专科医院的神经内科和精神科应协作制定癫痫合并精神障</w:t>
      </w:r>
      <w:r>
        <w:rPr>
          <w:rFonts w:hint="default" w:ascii="Times New Roman" w:hAnsi="Times New Roman" w:eastAsia="宋体" w:cs="Times New Roman"/>
          <w:sz w:val="21"/>
          <w:szCs w:val="21"/>
          <w:highlight w:val="none"/>
          <w:shd w:val="clear" w:color="auto" w:fill="auto"/>
        </w:rPr>
        <w:t>碍的管理规范，包括定期筛查患者的情绪状态，在门诊或随访时使用量表评估抑郁、焦虑症状</w:t>
      </w:r>
      <w:r>
        <w:rPr>
          <w:rFonts w:hint="default" w:ascii="Times New Roman" w:hAnsi="Times New Roman" w:eastAsia="宋体" w:cs="Times New Roman"/>
          <w:spacing w:val="0"/>
          <w:sz w:val="21"/>
          <w:szCs w:val="21"/>
          <w:highlight w:val="none"/>
          <w:shd w:val="clear" w:color="auto" w:fill="auto"/>
        </w:rPr>
        <w:t>，一旦发现及时治疗。通过综合管理，可改善癫痫患者的生活质量和预后。</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3" w:right="28"/>
        <w:jc w:val="both"/>
        <w:textAlignment w:val="baseline"/>
        <w:rPr>
          <w:rFonts w:hint="eastAsia" w:ascii="黑体" w:hAnsi="黑体" w:eastAsia="黑体" w:cs="黑体"/>
          <w:b w:val="0"/>
          <w:bCs w:val="0"/>
          <w:sz w:val="21"/>
          <w:szCs w:val="21"/>
          <w:highlight w:val="none"/>
          <w:shd w:val="clear" w:color="auto" w:fill="auto"/>
        </w:rPr>
      </w:pPr>
      <w:r>
        <w:rPr>
          <w:rFonts w:hint="eastAsia" w:ascii="黑体" w:hAnsi="黑体" w:eastAsia="黑体" w:cs="黑体"/>
          <w:b w:val="0"/>
          <w:bCs w:val="0"/>
          <w:sz w:val="21"/>
          <w:szCs w:val="21"/>
          <w:highlight w:val="none"/>
          <w:shd w:val="clear" w:color="auto" w:fill="auto"/>
          <w:lang w:val="en-US" w:eastAsia="zh-CN"/>
        </w:rPr>
        <w:t>A.2.3</w:t>
      </w:r>
      <w:r>
        <w:rPr>
          <w:rFonts w:hint="eastAsia" w:ascii="黑体" w:hAnsi="黑体" w:eastAsia="黑体" w:cs="黑体"/>
          <w:b w:val="0"/>
          <w:bCs w:val="0"/>
          <w:sz w:val="21"/>
          <w:szCs w:val="21"/>
          <w:highlight w:val="none"/>
          <w:shd w:val="clear" w:color="auto" w:fill="auto"/>
        </w:rPr>
        <w:t>脑外伤所致精神障碍：</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z w:val="21"/>
          <w:szCs w:val="21"/>
          <w:highlight w:val="none"/>
          <w:shd w:val="clear" w:color="auto" w:fill="auto"/>
        </w:rPr>
      </w:pPr>
      <w:r>
        <w:rPr>
          <w:rFonts w:hint="default" w:ascii="Times New Roman" w:hAnsi="Times New Roman" w:eastAsia="宋体" w:cs="Times New Roman"/>
          <w:sz w:val="21"/>
          <w:szCs w:val="21"/>
          <w:highlight w:val="none"/>
          <w:shd w:val="clear" w:color="auto" w:fill="auto"/>
        </w:rPr>
        <w:t>中至重度颅脑</w:t>
      </w:r>
      <w:r>
        <w:rPr>
          <w:rFonts w:hint="default" w:ascii="Times New Roman" w:hAnsi="Times New Roman" w:eastAsia="宋体" w:cs="Times New Roman"/>
          <w:spacing w:val="0"/>
          <w:sz w:val="21"/>
          <w:szCs w:val="21"/>
          <w:highlight w:val="none"/>
          <w:shd w:val="clear" w:color="auto" w:fill="auto"/>
        </w:rPr>
        <w:t>外伤患者中，相当比例在伤后出现持久的情绪和认知改变，尤以抑郁障碍和人格改变常见。研究显示，</w:t>
      </w:r>
      <w:r>
        <w:rPr>
          <w:rFonts w:hint="default" w:ascii="Times New Roman" w:hAnsi="Times New Roman" w:eastAsia="宋体" w:cs="Times New Roman"/>
          <w:spacing w:val="0"/>
          <w:sz w:val="21"/>
          <w:szCs w:val="21"/>
          <w:highlight w:val="none"/>
          <w:shd w:val="clear" w:color="auto" w:fill="auto"/>
          <w:lang w:val="en-US" w:eastAsia="zh-CN"/>
        </w:rPr>
        <w:t>脑外伤</w:t>
      </w:r>
      <w:r>
        <w:rPr>
          <w:rFonts w:hint="default" w:ascii="Times New Roman" w:hAnsi="Times New Roman" w:eastAsia="宋体" w:cs="Times New Roman"/>
          <w:spacing w:val="0"/>
          <w:sz w:val="21"/>
          <w:szCs w:val="21"/>
          <w:highlight w:val="none"/>
          <w:shd w:val="clear" w:color="auto" w:fill="auto"/>
        </w:rPr>
        <w:t xml:space="preserve">后抑郁的发生风险是一般人群的数倍，受伤一年内累积发生率高达30% ~70% </w:t>
      </w:r>
      <w:r>
        <w:rPr>
          <w:rFonts w:hint="default" w:ascii="Times New Roman" w:hAnsi="Times New Roman" w:eastAsia="宋体" w:cs="Times New Roman"/>
          <w:sz w:val="21"/>
          <w:szCs w:val="21"/>
          <w:highlight w:val="none"/>
          <w:shd w:val="clear" w:color="auto" w:fill="auto"/>
          <w:vertAlign w:val="baseline"/>
          <w:lang w:val="en-US" w:eastAsia="zh-CN"/>
        </w:rPr>
        <w:t>[6]</w:t>
      </w:r>
      <w:r>
        <w:rPr>
          <w:rFonts w:hint="default" w:ascii="Times New Roman" w:hAnsi="Times New Roman" w:eastAsia="宋体" w:cs="Times New Roman"/>
          <w:spacing w:val="0"/>
          <w:sz w:val="21"/>
          <w:szCs w:val="21"/>
          <w:highlight w:val="none"/>
          <w:shd w:val="clear" w:color="auto" w:fill="auto"/>
        </w:rPr>
        <w:t>。这类患者的精神症状往往与脑损伤部位和严重程度相关，如额叶受损者易出现情绪控制障碍和抑郁倾向。管理上，一方面神经内科应积极治疗脑外伤本身的并发症，如手术解除颅内血肿、控制颅内压升高、促进神经康复等；另一方面对于出现的精神障碍，需同步介入精神科治疗。然而，用药时需注意患者对中枢药物敏感性可能升高，应从小剂量开始，并密切观察不良反应。除了药物，认知行为治疗等心理干预同样重要，通过帮助患者应对身份变化和功能丧失，可减轻抑郁绝望感。康复治疗师也应参与其中，将心理激励融入运动、认知功能训练，鼓励患者重建生活信心。对于伴发冲动易怒行为的患者，加强环境安全管理和家属教育，防范冲动行为带来的风险。多学科团队协作为患者提供医学、心理和社会支持，可明显改善其长期生活质量和社会回归能力。</w:t>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2"/>
        <w:rPr>
          <w:rFonts w:hint="eastAsia" w:ascii="黑体" w:hAnsi="黑体" w:eastAsia="黑体" w:cs="黑体"/>
          <w:b w:val="0"/>
          <w:bCs w:val="0"/>
          <w:sz w:val="21"/>
          <w:szCs w:val="21"/>
          <w:highlight w:val="none"/>
          <w:shd w:val="clear" w:color="auto" w:fill="auto"/>
        </w:rPr>
      </w:pPr>
      <w:r>
        <w:rPr>
          <w:rFonts w:hint="eastAsia" w:ascii="黑体" w:hAnsi="黑体" w:eastAsia="黑体" w:cs="黑体"/>
          <w:b w:val="0"/>
          <w:bCs w:val="0"/>
          <w:spacing w:val="-1"/>
          <w:sz w:val="21"/>
          <w:szCs w:val="21"/>
          <w:highlight w:val="none"/>
          <w:shd w:val="clear" w:color="auto" w:fill="auto"/>
          <w:lang w:val="en-US" w:eastAsia="zh-CN"/>
        </w:rPr>
        <w:t>A.3</w:t>
      </w:r>
      <w:r>
        <w:rPr>
          <w:rFonts w:hint="eastAsia" w:ascii="黑体" w:hAnsi="黑体" w:eastAsia="黑体" w:cs="黑体"/>
          <w:b w:val="0"/>
          <w:bCs w:val="0"/>
          <w:spacing w:val="-1"/>
          <w:sz w:val="21"/>
          <w:szCs w:val="21"/>
          <w:highlight w:val="none"/>
          <w:shd w:val="clear" w:color="auto" w:fill="auto"/>
        </w:rPr>
        <w:t>神经退行性疾病相关情绪与精神障碍</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r>
        <w:rPr>
          <w:rFonts w:hint="default" w:ascii="Times New Roman" w:hAnsi="Times New Roman" w:eastAsia="宋体" w:cs="Times New Roman"/>
          <w:spacing w:val="0"/>
          <w:sz w:val="21"/>
          <w:szCs w:val="21"/>
          <w:highlight w:val="none"/>
          <w:shd w:val="clear" w:color="auto" w:fill="auto"/>
        </w:rPr>
        <w:t>神经退行性疾病患者常伴随情绪或精神症状，其中以帕金森病（PD）和阿尔茨海默病（AD）等痴呆最为典型。 帕金森病抑郁：抑郁是PD最常见的非运动症状之一，大约40%的PD患者在病程中出现临床可诊断的抑郁障碍。抑郁症状可在PD早期即出现，有时先于运动症状。PD抑郁不仅给患者带来心理痛苦，还会加重运动功能 障碍，形成恶性循环，严重影响患者生活质量，并增加照护者负担。因此，指南建议对每一位PD患者定期  进行情绪评估，可采用Beck抑郁量表或HAMD等筛查抑郁，一旦确诊应及时给予治疗。首选SSRIs或SNRIs类抗 抑郁药，如文拉法辛。同时考虑PD患者合并症，多学科调整治疗方案：必要时神经内科调整抗帕金森药物剂量（因为严重抑郁可能降低康复锻炼的参与度，可考虑调整用药改善运动症状以利心理康复），精神科提供心理治疗支持，针对患者对慢性进行性疾病的心理反应开展支持性心理治疗。对于痴呆相关精神行为症状（BPSD）：阿尔茨海默病及其他痴呆患者在中晚期常出现幻觉妄想、易怒 攻击行为或抑郁焦虑等症状。这些症状严重时会增加看护难度并促使患者生活能力进一步下降。管理要点是评估症状对患者和照护者的危害程度，权衡利弊使用小剂量非典型抗精神病药（如喹硫平</w:t>
      </w:r>
      <w:r>
        <w:rPr>
          <w:rFonts w:hint="default" w:ascii="Times New Roman" w:hAnsi="Times New Roman" w:eastAsia="宋体" w:cs="Times New Roman"/>
          <w:spacing w:val="0"/>
          <w:sz w:val="21"/>
          <w:szCs w:val="21"/>
          <w:highlight w:val="none"/>
          <w:shd w:val="clear" w:color="auto" w:fill="auto"/>
          <w:lang w:eastAsia="zh-CN"/>
        </w:rPr>
        <w:t>、</w:t>
      </w:r>
      <w:r>
        <w:rPr>
          <w:rFonts w:hint="default" w:ascii="Times New Roman" w:hAnsi="Times New Roman" w:eastAsia="宋体" w:cs="Times New Roman"/>
          <w:spacing w:val="0"/>
          <w:sz w:val="21"/>
          <w:szCs w:val="21"/>
          <w:highlight w:val="none"/>
          <w:shd w:val="clear" w:color="auto" w:fill="auto"/>
          <w:lang w:val="en-US" w:eastAsia="zh-CN"/>
        </w:rPr>
        <w:t>奥氮平等</w:t>
      </w:r>
      <w:r>
        <w:rPr>
          <w:rFonts w:hint="default" w:ascii="Times New Roman" w:hAnsi="Times New Roman" w:eastAsia="宋体" w:cs="Times New Roman"/>
          <w:spacing w:val="0"/>
          <w:sz w:val="21"/>
          <w:szCs w:val="21"/>
          <w:highlight w:val="none"/>
          <w:shd w:val="clear" w:color="auto" w:fill="auto"/>
        </w:rPr>
        <w:t>）短期控制严重的幻觉妄想或攻击行为，同时尽量采用非药物手段如环境调整、行为疗法来缓解症状。抗精神病药在痴呆患者中可能增加脑血管事件风险，应谨慎使用、密切监测。针对痴呆患者的抑郁焦虑，可考虑使用SSRIs，避免抗胆碱能作用强的药物以免加重认知障碍。精神专科医院神经内科在管理退行性疾病患者时，应与记忆门诊或老年精神科紧密合作：定期评估患者认知功能、精神行为症状和日常生活能力，邀请精神科医师参与病例讨论，共同制定综合方案，包括认知促进治疗、音乐</w:t>
      </w:r>
      <w:r>
        <w:rPr>
          <w:rFonts w:hint="default" w:ascii="Times New Roman" w:hAnsi="Times New Roman" w:eastAsia="宋体" w:cs="Times New Roman"/>
          <w:spacing w:val="0"/>
          <w:sz w:val="21"/>
          <w:szCs w:val="21"/>
          <w:highlight w:val="none"/>
          <w:shd w:val="clear" w:color="auto" w:fill="auto"/>
          <w:lang w:eastAsia="zh-CN"/>
        </w:rPr>
        <w:t>、</w:t>
      </w:r>
      <w:r>
        <w:rPr>
          <w:rFonts w:hint="default" w:ascii="Times New Roman" w:hAnsi="Times New Roman" w:eastAsia="宋体" w:cs="Times New Roman"/>
          <w:spacing w:val="0"/>
          <w:sz w:val="21"/>
          <w:szCs w:val="21"/>
          <w:highlight w:val="none"/>
          <w:shd w:val="clear" w:color="auto" w:fill="auto"/>
        </w:rPr>
        <w:t>艺术疗法等非药物干预，减轻患者的心理症状和照护者压力。通过药物和非药物干预相结合，许多退行性疾病患者的情绪和行为问题是可以改善的，从而延缓其进入护理机构的时间并提高生活质量。综上，对于帕金森病、阿尔茨海默病等神经退行性疾病伴发的情绪及精神障碍，神经内科与精神科的协作管理至关重要，应贯穿疾病全程，提供持续的评估和干预以造福患者家庭。</w:t>
      </w: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0" w:firstLineChars="200"/>
        <w:jc w:val="both"/>
        <w:textAlignment w:val="baseline"/>
        <w:rPr>
          <w:rFonts w:hint="default" w:ascii="Times New Roman" w:hAnsi="Times New Roman" w:eastAsia="宋体" w:cs="Times New Roman"/>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5" w:right="12" w:firstLine="422" w:firstLineChars="200"/>
        <w:jc w:val="both"/>
        <w:textAlignment w:val="baseline"/>
        <w:rPr>
          <w:rFonts w:hint="default" w:ascii="Times New Roman" w:hAnsi="Times New Roman" w:eastAsia="宋体" w:cs="Times New Roman"/>
          <w:b/>
          <w:bCs/>
          <w:spacing w:val="0"/>
          <w:sz w:val="21"/>
          <w:szCs w:val="21"/>
          <w:highlight w:val="none"/>
          <w:shd w:val="clear" w:color="auto" w:fill="auto"/>
        </w:rPr>
      </w:pPr>
    </w:p>
    <w:p>
      <w:pPr>
        <w:pStyle w:val="20"/>
        <w:keepNext w:val="0"/>
        <w:keepLines w:val="0"/>
        <w:pageBreakBefore w:val="0"/>
        <w:widowControl/>
        <w:kinsoku w:val="0"/>
        <w:wordWrap/>
        <w:overflowPunct/>
        <w:topLinePunct w:val="0"/>
        <w:autoSpaceDE w:val="0"/>
        <w:autoSpaceDN w:val="0"/>
        <w:bidi w:val="0"/>
        <w:adjustRightInd w:val="0"/>
        <w:snapToGrid w:val="0"/>
        <w:spacing w:line="360" w:lineRule="auto"/>
        <w:ind w:right="12"/>
        <w:jc w:val="center"/>
        <w:textAlignment w:val="baseline"/>
        <w:rPr>
          <w:rFonts w:hint="eastAsia" w:ascii="黑体" w:hAnsi="黑体" w:eastAsia="黑体" w:cs="黑体"/>
          <w:highlight w:val="none"/>
          <w:lang w:val="en-US" w:eastAsia="zh-CN"/>
        </w:rPr>
      </w:pPr>
      <w:r>
        <w:rPr>
          <w:rFonts w:hint="eastAsia" w:ascii="黑体" w:hAnsi="黑体" w:eastAsia="黑体" w:cs="黑体"/>
          <w:highlight w:val="none"/>
          <w:lang w:val="en-US" w:eastAsia="zh-CN"/>
        </w:rPr>
        <w:t>参考文献</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1. 国家卫生健康委办公厅. 关于印发加强和完善精神专科医疗服务意见的通知[S]. 北京: 国家卫生健康委办公厅; 2020.</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2. 中华医学会精神医学分会精神神经协作组. 神经精神共病管理专家共识[J]. 中华精神科杂志; 2024.</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3. Ayerbe L, Ayis S, Wolfe CDA, Rudd AG. Natural history, predictors and outcomes of depression after stroke: systematic review and meta-analysis. Br J Psychiatry. 2013;202(1):14‑21. doi:10.1192/bjp.bp.111.107664.</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4. Reijnders JSAM, Ehrt U, Weber WEJ, Aarsland D, Leentjens AF. A systematic review of depression in Parkinson disease. Mov Disord. 2008;23(2):183‑189. doi:10.1002/mds.21803.</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5. Kwon OY, Park SP. Depression and anxiety in people with epilepsy. J Clin Neurol. 2014;10(3):175‑188. doi:10.3988/jcn.2014.10.3.175.</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6. Bombardier CH, Fann JR, Temkin NR, et al. Rates of major depressive disorder and clinical outcomes following traumatic brain injury. JAMA. 2010;303(19):1938‑1945. doi:10.1001/jama.2010.599.</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7. 国务院办公厅. 国务院办公厅关于转发卫生计生委等部门〈全国精神卫生工作规划（2015—2020年）〉的通知[S]. 北京: 国务院办公厅; 2015.</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8. 国家卫生健康委办公厅. 国家精神医学中心设置标准[S]. 北京: 国家卫生健康委办公厅; 2019.</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9. 住房城乡建设部, 国家发展改革委. 精神专科医院建设标准[S]. 北京: 中国计划出版社; 2016.</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10. 中国精神障碍分类与诊断标准工作组. 中国精神障碍分类与诊断标准第3版（CCMD‑3）[S]. 济南: 山东科学技术出版社; 2001.</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11. 中国医师协会神经内科医师分会. 中国记忆障碍门诊建立规范[S]. 北京: 人民卫生出版社; 2018.</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12. 国家卫生健康委. 三级医院评审标准（2025年版）政策解读[S]. 北京: 国家卫生健康委; 2025.</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13. 国家卫生健康委. 公立医院高质量发展促进行动（2021—2025年）[S]. 北京: 国家卫生健康委; 2021.</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14. 国家卫生健康委. 三级公立医院绩效考核操作手册[S]. 北京: 国家卫生健康委; 2022.</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15. 国家卫生健康委办公厅. 关于探索开展抑郁症、老年痴呆防治特色服务的通知[S]. 北京: 国家卫生健康委办公厅; 2020.</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16. 国家卫生健康委办公厅. 电子病历系统应用水平分级评价管理办法（试行）[S]. 北京: 国家卫生健康委办公厅; 2018.</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17. 国家卫生健康委办公厅. 电子病历系统应用水平分级评价标准（试行）[S]. 北京: 国家卫生健康委办公厅; 2018.</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18. Karyotaki E, Smit Y, Holdt Henningsen K, et al. Combining pharmacotherapy and psychotherapy or monotherapy for major depression? A meta-analysis on the long-term effects. J Affect Disord. 2016;194:144‑152. doi:10.1016/j.jad.2016.01.036.</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19. 中国卒中学会, 中华医学会精神医学分会. 卒中后焦虑与抑郁中国专家指南（2023版）[S]. 北京: 人民卫生出版社; 2023.</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23. 国家卫生健康委办公厅. 电子病历系统应用水平分级评价管理办法（试行）附件2：信息互联互通要求[S]. 北京: 国家卫生健康委办公厅; 2018.</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24. 国家卫生健康委. 电子病历系统应用水平分级评价等级评定标准全文[S]. 北京: 国家卫生健康委; 2018.</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r>
        <w:rPr>
          <w:rFonts w:hint="eastAsia" w:ascii="宋体" w:hAnsi="宋体" w:eastAsia="宋体" w:cstheme="minorBidi"/>
          <w:kern w:val="2"/>
          <w:sz w:val="21"/>
          <w:szCs w:val="21"/>
          <w:highlight w:val="none"/>
          <w:lang w:eastAsia="zh-CN"/>
        </w:rPr>
        <w:t>25. 国家卫生健康委. 公立医院高质量发展评价指标（试行）操作手册[S]. 北京: 国家卫生健康委; 2022.</w:t>
      </w: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p>
    <w:p>
      <w:pPr>
        <w:keepNext w:val="0"/>
        <w:keepLines w:val="0"/>
        <w:pageBreakBefore w:val="0"/>
        <w:widowControl w:val="0"/>
        <w:kinsoku/>
        <w:wordWrap w:val="0"/>
        <w:overflowPunct/>
        <w:topLinePunct w:val="0"/>
        <w:autoSpaceDE/>
        <w:autoSpaceDN/>
        <w:bidi w:val="0"/>
        <w:adjustRightInd/>
        <w:snapToGrid w:val="0"/>
        <w:spacing w:after="0" w:line="360" w:lineRule="exact"/>
        <w:ind w:firstLine="420" w:firstLineChars="200"/>
        <w:jc w:val="left"/>
        <w:textAlignment w:val="auto"/>
        <w:rPr>
          <w:rFonts w:hint="eastAsia" w:ascii="宋体" w:hAnsi="宋体" w:eastAsia="宋体" w:cstheme="minorBidi"/>
          <w:kern w:val="2"/>
          <w:sz w:val="21"/>
          <w:szCs w:val="21"/>
          <w:highlight w:val="none"/>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sz w:val="24"/>
          <w:szCs w:val="24"/>
          <w:highlight w:val="none"/>
        </w:rPr>
      </w:pPr>
      <w:r>
        <w:rPr>
          <w:sz w:val="24"/>
        </w:rPr>
        <mc:AlternateContent>
          <mc:Choice Requires="wps">
            <w:drawing>
              <wp:anchor distT="0" distB="0" distL="114300" distR="114300" simplePos="0" relativeHeight="251658240" behindDoc="0" locked="0" layoutInCell="1" allowOverlap="1">
                <wp:simplePos x="0" y="0"/>
                <wp:positionH relativeFrom="column">
                  <wp:posOffset>1377950</wp:posOffset>
                </wp:positionH>
                <wp:positionV relativeFrom="paragraph">
                  <wp:posOffset>117475</wp:posOffset>
                </wp:positionV>
                <wp:extent cx="2602230" cy="6985"/>
                <wp:effectExtent l="33655" t="13970" r="43815" b="67945"/>
                <wp:wrapNone/>
                <wp:docPr id="2" name="直接连接符 2"/>
                <wp:cNvGraphicFramePr/>
                <a:graphic xmlns:a="http://schemas.openxmlformats.org/drawingml/2006/main">
                  <a:graphicData uri="http://schemas.microsoft.com/office/word/2010/wordprocessingShape">
                    <wps:wsp>
                      <wps:cNvCnPr/>
                      <wps:spPr>
                        <a:xfrm>
                          <a:off x="2385695" y="4674870"/>
                          <a:ext cx="2602230"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08.5pt;margin-top:9.25pt;height:0.55pt;width:204.9pt;z-index:251658240;mso-width-relative:page;mso-height-relative:page;" filled="f" stroked="t" coordsize="21600,21600" o:gfxdata="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dX07XXAAAA&#10;CQEAAA8AAAAAAAAAAQAgAAAAIgAAAGRycy9kb3ducmV2LnhtbFBLAQIUABQAAAAIAIdO4kBhc8zl&#10;5QEAAJQDAAAOAAAAAAAAAAEAIAAAACYBAABkcnMvZTJvRG9jLnhtbFBLBQYAAAAABgAGAFkBAAB9&#10;BQAAAAA=&#10;">
                <v:fill on="f" focussize="0,0"/>
                <v:stroke color="#000000 [3200]" joinstyle="round"/>
                <v:imagedata o:title=""/>
                <o:lock v:ext="edit" aspectratio="f"/>
              </v:line>
            </w:pict>
          </mc:Fallback>
        </mc:AlternateContent>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sz w:val="24"/>
          <w:szCs w:val="24"/>
          <w:highlight w:val="none"/>
        </w:rPr>
      </w:pPr>
    </w:p>
    <w:p>
      <w:pPr>
        <w:rPr>
          <w:highlight w:val="none"/>
        </w:rPr>
      </w:pPr>
    </w:p>
    <w:sectPr>
      <w:pgSz w:w="12240" w:h="15840"/>
      <w:pgMar w:top="1429" w:right="1559" w:bottom="782" w:left="1559"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center" w:pos="4153"/>
        <w:tab w:val="right" w:pos="8306"/>
        <w:tab w:val="clear" w:pos="4680"/>
        <w:tab w:val="clear" w:pos="9360"/>
      </w:tabs>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tabs>
                              <w:tab w:val="center" w:pos="4153"/>
                              <w:tab w:val="right" w:pos="8306"/>
                              <w:tab w:val="clear" w:pos="4680"/>
                              <w:tab w:val="clear" w:pos="9360"/>
                            </w:tabs>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5"/>
                      <w:tabs>
                        <w:tab w:val="center" w:pos="4153"/>
                        <w:tab w:val="right" w:pos="8306"/>
                        <w:tab w:val="clear" w:pos="4680"/>
                        <w:tab w:val="clear" w:pos="9360"/>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center" w:pos="4153"/>
        <w:tab w:val="right" w:pos="8306"/>
        <w:tab w:val="clear" w:pos="4680"/>
        <w:tab w:val="clear" w:pos="9360"/>
      </w:tabs>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center" w:pos="4153"/>
        <w:tab w:val="right" w:pos="8306"/>
        <w:tab w:val="clear" w:pos="4680"/>
        <w:tab w:val="clear" w:pos="9360"/>
      </w:tabs>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80" w:lineRule="auto"/>
      <w:ind w:left="435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82" w:lineRule="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tabs>
        <w:tab w:val="center" w:pos="4153"/>
        <w:tab w:val="right" w:pos="8306"/>
        <w:tab w:val="clear" w:pos="4680"/>
        <w:tab w:val="clear" w:pos="9360"/>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tabs>
        <w:tab w:val="center" w:pos="4153"/>
        <w:tab w:val="right" w:pos="8306"/>
        <w:tab w:val="clear" w:pos="4680"/>
        <w:tab w:val="clear" w:pos="9360"/>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tabs>
        <w:tab w:val="center" w:pos="4153"/>
        <w:tab w:val="right" w:pos="8306"/>
        <w:tab w:val="clear" w:pos="4680"/>
        <w:tab w:val="clear" w:pos="9360"/>
      </w:tabs>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6E3564"/>
    <w:multiLevelType w:val="singleLevel"/>
    <w:tmpl w:val="A16E3564"/>
    <w:lvl w:ilvl="0" w:tentative="0">
      <w:start w:val="1"/>
      <w:numFmt w:val="lowerLetter"/>
      <w:suff w:val="nothing"/>
      <w:lvlText w:val="%1）"/>
      <w:lvlJc w:val="left"/>
    </w:lvl>
  </w:abstractNum>
  <w:abstractNum w:abstractNumId="1">
    <w:nsid w:val="B15D304B"/>
    <w:multiLevelType w:val="singleLevel"/>
    <w:tmpl w:val="B15D304B"/>
    <w:lvl w:ilvl="0" w:tentative="0">
      <w:start w:val="1"/>
      <w:numFmt w:val="lowerLetter"/>
      <w:suff w:val="nothing"/>
      <w:lvlText w:val="%1）"/>
      <w:lvlJc w:val="left"/>
    </w:lvl>
  </w:abstractNum>
  <w:abstractNum w:abstractNumId="2">
    <w:nsid w:val="D2B4199A"/>
    <w:multiLevelType w:val="singleLevel"/>
    <w:tmpl w:val="D2B4199A"/>
    <w:lvl w:ilvl="0" w:tentative="0">
      <w:start w:val="1"/>
      <w:numFmt w:val="lowerLetter"/>
      <w:lvlText w:val="%1)"/>
      <w:lvlJc w:val="left"/>
      <w:pPr>
        <w:tabs>
          <w:tab w:val="left" w:pos="312"/>
        </w:tabs>
      </w:pPr>
    </w:lvl>
  </w:abstractNum>
  <w:abstractNum w:abstractNumId="3">
    <w:nsid w:val="EC2FBF33"/>
    <w:multiLevelType w:val="singleLevel"/>
    <w:tmpl w:val="EC2FBF33"/>
    <w:lvl w:ilvl="0" w:tentative="0">
      <w:start w:val="1"/>
      <w:numFmt w:val="lowerLetter"/>
      <w:suff w:val="nothing"/>
      <w:lvlText w:val="%1）"/>
      <w:lvlJc w:val="left"/>
    </w:lvl>
  </w:abstractNum>
  <w:abstractNum w:abstractNumId="4">
    <w:nsid w:val="ED78E49A"/>
    <w:multiLevelType w:val="singleLevel"/>
    <w:tmpl w:val="ED78E49A"/>
    <w:lvl w:ilvl="0" w:tentative="0">
      <w:start w:val="1"/>
      <w:numFmt w:val="lowerLetter"/>
      <w:lvlText w:val="%1)"/>
      <w:lvlJc w:val="left"/>
      <w:pPr>
        <w:tabs>
          <w:tab w:val="left" w:pos="312"/>
        </w:tabs>
      </w:pPr>
    </w:lvl>
  </w:abstractNum>
  <w:abstractNum w:abstractNumId="5">
    <w:nsid w:val="F78D8BE4"/>
    <w:multiLevelType w:val="singleLevel"/>
    <w:tmpl w:val="F78D8BE4"/>
    <w:lvl w:ilvl="0" w:tentative="0">
      <w:start w:val="1"/>
      <w:numFmt w:val="lowerLetter"/>
      <w:lvlText w:val="%1)"/>
      <w:lvlJc w:val="left"/>
      <w:pPr>
        <w:tabs>
          <w:tab w:val="left" w:pos="312"/>
        </w:tabs>
      </w:pPr>
    </w:lvl>
  </w:abstractNum>
  <w:abstractNum w:abstractNumId="6">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7">
    <w:nsid w:val="FFFFFF7F"/>
    <w:multiLevelType w:val="singleLevel"/>
    <w:tmpl w:val="FFFFFF7F"/>
    <w:lvl w:ilvl="0" w:tentative="0">
      <w:start w:val="1"/>
      <w:numFmt w:val="decimal"/>
      <w:pStyle w:val="12"/>
      <w:lvlText w:val="%1."/>
      <w:lvlJc w:val="left"/>
      <w:pPr>
        <w:tabs>
          <w:tab w:val="left" w:pos="720"/>
        </w:tabs>
        <w:ind w:left="720" w:hanging="360"/>
      </w:pPr>
    </w:lvl>
  </w:abstractNum>
  <w:abstractNum w:abstractNumId="8">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9">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10">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11">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12">
    <w:nsid w:val="07ED3FEA"/>
    <w:multiLevelType w:val="multilevel"/>
    <w:tmpl w:val="07ED3FEA"/>
    <w:lvl w:ilvl="0" w:tentative="0">
      <w:start w:val="1"/>
      <w:numFmt w:val="none"/>
      <w:pStyle w:val="166"/>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eastAsia="黑体" w:hAnsiTheme="minorHAnsi"/>
        <w:b w:val="0"/>
        <w:i w:val="0"/>
        <w:sz w:val="21"/>
      </w:rPr>
    </w:lvl>
    <w:lvl w:ilvl="2" w:tentative="0">
      <w:start w:val="1"/>
      <w:numFmt w:val="decimal"/>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suff w:val="nothing"/>
      <w:lvlText w:val="%10.%2.%3.%4.%5 "/>
      <w:lvlJc w:val="left"/>
      <w:pPr>
        <w:ind w:left="0" w:firstLine="0"/>
      </w:pPr>
      <w:rPr>
        <w:rFonts w:hint="eastAsia" w:ascii="黑体" w:eastAsia="黑体" w:hAnsiTheme="minorHAnsi"/>
        <w:b w:val="0"/>
        <w:i w:val="0"/>
        <w:sz w:val="21"/>
      </w:rPr>
    </w:lvl>
    <w:lvl w:ilvl="5" w:tentative="0">
      <w:start w:val="1"/>
      <w:numFmt w:val="decimal"/>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568EBA61"/>
    <w:multiLevelType w:val="singleLevel"/>
    <w:tmpl w:val="568EBA61"/>
    <w:lvl w:ilvl="0" w:tentative="0">
      <w:start w:val="1"/>
      <w:numFmt w:val="lowerLetter"/>
      <w:suff w:val="nothing"/>
      <w:lvlText w:val="%1）"/>
      <w:lvlJc w:val="left"/>
    </w:lvl>
  </w:abstractNum>
  <w:abstractNum w:abstractNumId="15">
    <w:nsid w:val="676DB87B"/>
    <w:multiLevelType w:val="singleLevel"/>
    <w:tmpl w:val="676DB87B"/>
    <w:lvl w:ilvl="0" w:tentative="0">
      <w:start w:val="1"/>
      <w:numFmt w:val="lowerLetter"/>
      <w:suff w:val="nothing"/>
      <w:lvlText w:val="%1）"/>
      <w:lvlJc w:val="left"/>
    </w:lvl>
  </w:abstractNum>
  <w:abstractNum w:abstractNumId="16">
    <w:nsid w:val="6CEA2025"/>
    <w:multiLevelType w:val="multilevel"/>
    <w:tmpl w:val="6CEA2025"/>
    <w:lvl w:ilvl="0" w:tentative="0">
      <w:start w:val="1"/>
      <w:numFmt w:val="none"/>
      <w:pStyle w:val="167"/>
      <w:suff w:val="nothing"/>
      <w:lvlText w:val="%1"/>
      <w:lvlJc w:val="left"/>
      <w:pPr>
        <w:ind w:left="0" w:firstLine="0"/>
      </w:pPr>
      <w:rPr>
        <w:rFonts w:hint="default" w:ascii="Times New Roman" w:hAnsi="Times New Roman"/>
        <w:b/>
        <w:i w:val="0"/>
        <w:sz w:val="21"/>
      </w:rPr>
    </w:lvl>
    <w:lvl w:ilvl="1" w:tentative="0">
      <w:start w:val="1"/>
      <w:numFmt w:val="decimal"/>
      <w:pStyle w:val="168"/>
      <w:suff w:val="nothing"/>
      <w:lvlText w:val="%1%2　"/>
      <w:lvlJc w:val="left"/>
      <w:pPr>
        <w:ind w:left="36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54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7A9D58E0"/>
    <w:multiLevelType w:val="singleLevel"/>
    <w:tmpl w:val="7A9D58E0"/>
    <w:lvl w:ilvl="0" w:tentative="0">
      <w:start w:val="1"/>
      <w:numFmt w:val="lowerLetter"/>
      <w:lvlText w:val="%1)"/>
      <w:lvlJc w:val="left"/>
      <w:pPr>
        <w:tabs>
          <w:tab w:val="left" w:pos="312"/>
        </w:tabs>
      </w:pPr>
    </w:lvl>
  </w:abstractNum>
  <w:num w:numId="1">
    <w:abstractNumId w:val="7"/>
  </w:num>
  <w:num w:numId="2">
    <w:abstractNumId w:val="10"/>
  </w:num>
  <w:num w:numId="3">
    <w:abstractNumId w:val="11"/>
  </w:num>
  <w:num w:numId="4">
    <w:abstractNumId w:val="8"/>
  </w:num>
  <w:num w:numId="5">
    <w:abstractNumId w:val="6"/>
  </w:num>
  <w:num w:numId="6">
    <w:abstractNumId w:val="9"/>
  </w:num>
  <w:num w:numId="7">
    <w:abstractNumId w:val="12"/>
  </w:num>
  <w:num w:numId="8">
    <w:abstractNumId w:val="16"/>
  </w:num>
  <w:num w:numId="9">
    <w:abstractNumId w:val="13"/>
  </w:num>
  <w:num w:numId="10">
    <w:abstractNumId w:val="15"/>
  </w:num>
  <w:num w:numId="11">
    <w:abstractNumId w:val="17"/>
  </w:num>
  <w:num w:numId="12">
    <w:abstractNumId w:val="5"/>
  </w:num>
  <w:num w:numId="13">
    <w:abstractNumId w:val="1"/>
  </w:num>
  <w:num w:numId="14">
    <w:abstractNumId w:val="14"/>
  </w:num>
  <w:num w:numId="15">
    <w:abstractNumId w:val="4"/>
  </w:num>
  <w:num w:numId="16">
    <w:abstractNumId w:val="2"/>
  </w:num>
  <w:num w:numId="17">
    <w:abstractNumId w:val="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E57816"/>
    <w:rsid w:val="00FC693F"/>
    <w:rsid w:val="017A5723"/>
    <w:rsid w:val="01B8670D"/>
    <w:rsid w:val="036A483A"/>
    <w:rsid w:val="049D3271"/>
    <w:rsid w:val="054A7540"/>
    <w:rsid w:val="05C11D4B"/>
    <w:rsid w:val="07CB4EE3"/>
    <w:rsid w:val="08BE3713"/>
    <w:rsid w:val="08CC7FB6"/>
    <w:rsid w:val="0A490104"/>
    <w:rsid w:val="0E340ADF"/>
    <w:rsid w:val="0ECB4D19"/>
    <w:rsid w:val="0F7116DE"/>
    <w:rsid w:val="115B1931"/>
    <w:rsid w:val="16342512"/>
    <w:rsid w:val="170435C7"/>
    <w:rsid w:val="1725210F"/>
    <w:rsid w:val="19103792"/>
    <w:rsid w:val="1C9D1846"/>
    <w:rsid w:val="1CBD5377"/>
    <w:rsid w:val="1CDF209F"/>
    <w:rsid w:val="1FC971A9"/>
    <w:rsid w:val="1FE934AA"/>
    <w:rsid w:val="21B7328F"/>
    <w:rsid w:val="21BD580F"/>
    <w:rsid w:val="21FA211E"/>
    <w:rsid w:val="22D5331A"/>
    <w:rsid w:val="236131AD"/>
    <w:rsid w:val="24037601"/>
    <w:rsid w:val="2446485F"/>
    <w:rsid w:val="2582124B"/>
    <w:rsid w:val="2604516D"/>
    <w:rsid w:val="267702C0"/>
    <w:rsid w:val="270C1556"/>
    <w:rsid w:val="275450D8"/>
    <w:rsid w:val="27B1285C"/>
    <w:rsid w:val="28CD2659"/>
    <w:rsid w:val="2A5F7C5F"/>
    <w:rsid w:val="2A7C46CE"/>
    <w:rsid w:val="2BAB451F"/>
    <w:rsid w:val="2BD9444D"/>
    <w:rsid w:val="2EB01BB3"/>
    <w:rsid w:val="2F1500AD"/>
    <w:rsid w:val="303D7940"/>
    <w:rsid w:val="31055995"/>
    <w:rsid w:val="317B2072"/>
    <w:rsid w:val="32174D76"/>
    <w:rsid w:val="33903B29"/>
    <w:rsid w:val="33DE73FC"/>
    <w:rsid w:val="34102FEA"/>
    <w:rsid w:val="35020CF9"/>
    <w:rsid w:val="35ED2706"/>
    <w:rsid w:val="36B57130"/>
    <w:rsid w:val="37BC4397"/>
    <w:rsid w:val="38EF268D"/>
    <w:rsid w:val="397229B5"/>
    <w:rsid w:val="39C60175"/>
    <w:rsid w:val="3A0F5AE2"/>
    <w:rsid w:val="3AE26B3E"/>
    <w:rsid w:val="3BAC3FBB"/>
    <w:rsid w:val="3F1438D5"/>
    <w:rsid w:val="40F119E5"/>
    <w:rsid w:val="410A7B50"/>
    <w:rsid w:val="421B586F"/>
    <w:rsid w:val="4839275E"/>
    <w:rsid w:val="489B2B32"/>
    <w:rsid w:val="4C532BF2"/>
    <w:rsid w:val="4E840548"/>
    <w:rsid w:val="4EC363F2"/>
    <w:rsid w:val="4F461A56"/>
    <w:rsid w:val="4F6F7F2B"/>
    <w:rsid w:val="51A45694"/>
    <w:rsid w:val="51BA708E"/>
    <w:rsid w:val="51C300AB"/>
    <w:rsid w:val="52413220"/>
    <w:rsid w:val="526F5D19"/>
    <w:rsid w:val="55337855"/>
    <w:rsid w:val="554046EA"/>
    <w:rsid w:val="56A81612"/>
    <w:rsid w:val="580240FE"/>
    <w:rsid w:val="58DB3D9A"/>
    <w:rsid w:val="5B933AEB"/>
    <w:rsid w:val="5C0E2F55"/>
    <w:rsid w:val="5C2A5C92"/>
    <w:rsid w:val="5C681D83"/>
    <w:rsid w:val="5CBF747C"/>
    <w:rsid w:val="5E423704"/>
    <w:rsid w:val="5ED75F1A"/>
    <w:rsid w:val="60B42F40"/>
    <w:rsid w:val="60D535ED"/>
    <w:rsid w:val="60DA6D52"/>
    <w:rsid w:val="61A01D23"/>
    <w:rsid w:val="61CB1BBF"/>
    <w:rsid w:val="61E528F0"/>
    <w:rsid w:val="620E34F8"/>
    <w:rsid w:val="62586F6E"/>
    <w:rsid w:val="66020337"/>
    <w:rsid w:val="69C373A7"/>
    <w:rsid w:val="69CE1946"/>
    <w:rsid w:val="6BD20AE3"/>
    <w:rsid w:val="6CDB3607"/>
    <w:rsid w:val="6CFC3083"/>
    <w:rsid w:val="6E16069A"/>
    <w:rsid w:val="6EA74B4A"/>
    <w:rsid w:val="70D509BC"/>
    <w:rsid w:val="71183F98"/>
    <w:rsid w:val="73F249FE"/>
    <w:rsid w:val="787D1BA4"/>
    <w:rsid w:val="79137F94"/>
    <w:rsid w:val="7B36728F"/>
    <w:rsid w:val="7CDE7CF2"/>
    <w:rsid w:val="7DA11DB1"/>
    <w:rsid w:val="7E3F10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34">
    <w:name w:val="Default Paragraph Font"/>
    <w:semiHidden/>
    <w:unhideWhenUsed/>
    <w:qFormat/>
    <w:uiPriority w:val="1"/>
  </w:style>
  <w:style w:type="table" w:default="1" w:styleId="37">
    <w:name w:val="Normal Table"/>
    <w:semiHidden/>
    <w:unhideWhenUsed/>
    <w:qFormat/>
    <w:uiPriority w:val="99"/>
    <w:tblPr>
      <w:tblLayout w:type="fixed"/>
      <w:tblCellMar>
        <w:top w:w="0" w:type="dxa"/>
        <w:left w:w="108" w:type="dxa"/>
        <w:bottom w:w="0" w:type="dxa"/>
        <w:right w:w="108" w:type="dxa"/>
      </w:tblCellMar>
    </w:tblPr>
  </w:style>
  <w:style w:type="paragraph" w:styleId="11">
    <w:name w:val="List 3"/>
    <w:basedOn w:val="1"/>
    <w:unhideWhenUsed/>
    <w:qFormat/>
    <w:uiPriority w:val="99"/>
    <w:pPr>
      <w:ind w:left="1080" w:hanging="360"/>
      <w:contextualSpacing/>
    </w:pPr>
  </w:style>
  <w:style w:type="paragraph" w:styleId="12">
    <w:name w:val="List Number 2"/>
    <w:basedOn w:val="1"/>
    <w:unhideWhenUsed/>
    <w:qFormat/>
    <w:uiPriority w:val="99"/>
    <w:pPr>
      <w:numPr>
        <w:ilvl w:val="0"/>
        <w:numId w:val="1"/>
      </w:numPr>
      <w:contextualSpacing/>
    </w:pPr>
  </w:style>
  <w:style w:type="paragraph" w:styleId="13">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48"/>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6"/>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8"/>
    <w:unhideWhenUsed/>
    <w:qFormat/>
    <w:uiPriority w:val="99"/>
    <w:pPr>
      <w:tabs>
        <w:tab w:val="center" w:pos="4680"/>
        <w:tab w:val="right" w:pos="9360"/>
      </w:tabs>
      <w:spacing w:after="0" w:line="240" w:lineRule="auto"/>
    </w:pPr>
  </w:style>
  <w:style w:type="paragraph" w:styleId="26">
    <w:name w:val="header"/>
    <w:basedOn w:val="1"/>
    <w:link w:val="137"/>
    <w:unhideWhenUsed/>
    <w:qFormat/>
    <w:uiPriority w:val="99"/>
    <w:pPr>
      <w:tabs>
        <w:tab w:val="center" w:pos="4680"/>
        <w:tab w:val="right" w:pos="9360"/>
      </w:tabs>
      <w:spacing w:after="0" w:line="240" w:lineRule="auto"/>
    </w:pPr>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7"/>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styleId="35">
    <w:name w:val="Strong"/>
    <w:basedOn w:val="34"/>
    <w:qFormat/>
    <w:uiPriority w:val="22"/>
    <w:rPr>
      <w:b/>
      <w:bCs/>
    </w:rPr>
  </w:style>
  <w:style w:type="character" w:styleId="36">
    <w:name w:val="Emphasis"/>
    <w:basedOn w:val="34"/>
    <w:qFormat/>
    <w:uiPriority w:val="20"/>
    <w:rPr>
      <w:i/>
      <w:iCs/>
    </w:rPr>
  </w:style>
  <w:style w:type="table" w:styleId="38">
    <w:name w:val="Table Grid"/>
    <w:basedOn w:val="3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39">
    <w:name w:val="Light Shading"/>
    <w:basedOn w:val="37"/>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left w:val="nil"/>
          <w:right w:val="nil"/>
          <w:insideH w:val="nil"/>
          <w:insideV w:val="nil"/>
        </w:tcBorders>
        <w:shd w:val="clear" w:color="auto" w:fill="BFBFBF" w:themeFill="text1" w:themeFillTint="3F"/>
      </w:tcPr>
    </w:tblStylePr>
  </w:style>
  <w:style w:type="table" w:styleId="40">
    <w:name w:val="Light Shading Accent 1"/>
    <w:basedOn w:val="37"/>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left w:val="nil"/>
          <w:right w:val="nil"/>
          <w:insideH w:val="nil"/>
          <w:insideV w:val="nil"/>
        </w:tcBorders>
        <w:shd w:val="clear" w:color="auto" w:fill="D3DFEE" w:themeFill="accent1" w:themeFillTint="3F"/>
      </w:tcPr>
    </w:tblStylePr>
  </w:style>
  <w:style w:type="table" w:styleId="41">
    <w:name w:val="Light Shading Accent 2"/>
    <w:basedOn w:val="37"/>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left w:val="nil"/>
          <w:right w:val="nil"/>
          <w:insideH w:val="nil"/>
          <w:insideV w:val="nil"/>
        </w:tcBorders>
        <w:shd w:val="clear" w:color="auto" w:fill="EFD3D3" w:themeFill="accent2" w:themeFillTint="3F"/>
      </w:tcPr>
    </w:tblStylePr>
  </w:style>
  <w:style w:type="table" w:styleId="42">
    <w:name w:val="Light Shading Accent 3"/>
    <w:basedOn w:val="37"/>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left w:val="nil"/>
          <w:right w:val="nil"/>
          <w:insideH w:val="nil"/>
          <w:insideV w:val="nil"/>
        </w:tcBorders>
        <w:shd w:val="clear" w:color="auto" w:fill="E6EED5" w:themeFill="accent3" w:themeFillTint="3F"/>
      </w:tcPr>
    </w:tblStylePr>
  </w:style>
  <w:style w:type="table" w:styleId="43">
    <w:name w:val="Light Shading Accent 4"/>
    <w:basedOn w:val="37"/>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left w:val="nil"/>
          <w:right w:val="nil"/>
          <w:insideH w:val="nil"/>
          <w:insideV w:val="nil"/>
        </w:tcBorders>
        <w:shd w:val="clear" w:color="auto" w:fill="DFD8E8" w:themeFill="accent4" w:themeFillTint="3F"/>
      </w:tcPr>
    </w:tblStylePr>
  </w:style>
  <w:style w:type="table" w:styleId="44">
    <w:name w:val="Light Shading Accent 5"/>
    <w:basedOn w:val="37"/>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left w:val="nil"/>
          <w:right w:val="nil"/>
          <w:insideH w:val="nil"/>
          <w:insideV w:val="nil"/>
        </w:tcBorders>
        <w:shd w:val="clear" w:color="auto" w:fill="D2EAF0" w:themeFill="accent5" w:themeFillTint="3F"/>
      </w:tcPr>
    </w:tblStylePr>
  </w:style>
  <w:style w:type="table" w:styleId="45">
    <w:name w:val="Light Shading Accent 6"/>
    <w:basedOn w:val="37"/>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left w:val="nil"/>
          <w:right w:val="nil"/>
          <w:insideH w:val="nil"/>
          <w:insideV w:val="nil"/>
        </w:tcBorders>
        <w:shd w:val="clear" w:color="auto" w:fill="FDE5D1" w:themeFill="accent6" w:themeFillTint="3F"/>
      </w:tcPr>
    </w:tblStylePr>
  </w:style>
  <w:style w:type="table" w:styleId="46">
    <w:name w:val="Light List"/>
    <w:basedOn w:val="37"/>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000000" w:themeFill="text1"/>
      </w:tcPr>
    </w:tblStylePr>
    <w:tblStylePr w:type="lastRow">
      <w:pPr>
        <w:spacing w:before="0" w:after="0" w:line="240" w:lineRule="auto"/>
      </w:pPr>
      <w:rPr>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7">
    <w:name w:val="Light List Accent 1"/>
    <w:basedOn w:val="37"/>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F81BD" w:themeFill="accent1"/>
      </w:tcPr>
    </w:tblStylePr>
    <w:tblStylePr w:type="lastRow">
      <w:pPr>
        <w:spacing w:before="0" w:after="0" w:line="240" w:lineRule="auto"/>
      </w:pPr>
      <w:rPr>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8">
    <w:name w:val="Light List Accent 2"/>
    <w:basedOn w:val="37"/>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C0504D" w:themeFill="accent2"/>
      </w:tcPr>
    </w:tblStylePr>
    <w:tblStylePr w:type="lastRow">
      <w:pPr>
        <w:spacing w:before="0" w:after="0" w:line="240" w:lineRule="auto"/>
      </w:pPr>
      <w:rPr>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9">
    <w:name w:val="Light List Accent 3"/>
    <w:basedOn w:val="37"/>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9BBB59" w:themeFill="accent3"/>
      </w:tcPr>
    </w:tblStylePr>
    <w:tblStylePr w:type="lastRow">
      <w:pPr>
        <w:spacing w:before="0" w:after="0" w:line="240" w:lineRule="auto"/>
      </w:pPr>
      <w:rPr>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0">
    <w:name w:val="Light List Accent 4"/>
    <w:basedOn w:val="37"/>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8064A2" w:themeFill="accent4"/>
      </w:tcPr>
    </w:tblStylePr>
    <w:tblStylePr w:type="lastRow">
      <w:pPr>
        <w:spacing w:before="0" w:after="0" w:line="240" w:lineRule="auto"/>
      </w:pPr>
      <w:rPr>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1">
    <w:name w:val="Light List Accent 5"/>
    <w:basedOn w:val="37"/>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BACC6" w:themeFill="accent5"/>
      </w:tcPr>
    </w:tblStylePr>
    <w:tblStylePr w:type="lastRow">
      <w:pPr>
        <w:spacing w:before="0" w:after="0" w:line="240" w:lineRule="auto"/>
      </w:pPr>
      <w:rPr>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2">
    <w:name w:val="Light List Accent 6"/>
    <w:basedOn w:val="37"/>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F79646" w:themeFill="accent6"/>
      </w:tcPr>
    </w:tblStylePr>
    <w:tblStylePr w:type="lastRow">
      <w:pPr>
        <w:spacing w:before="0" w:after="0" w:line="240" w:lineRule="auto"/>
      </w:pPr>
      <w:rPr>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3">
    <w:name w:val="Light Grid"/>
    <w:basedOn w:val="37"/>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4">
    <w:name w:val="Light Grid Accent 1"/>
    <w:basedOn w:val="37"/>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5">
    <w:name w:val="Light Grid Accent 2"/>
    <w:basedOn w:val="37"/>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6">
    <w:name w:val="Light Grid Accent 3"/>
    <w:basedOn w:val="37"/>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7">
    <w:name w:val="Light Grid Accent 4"/>
    <w:basedOn w:val="37"/>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8">
    <w:name w:val="Light Grid Accent 5"/>
    <w:basedOn w:val="37"/>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9">
    <w:name w:val="Light Grid Accent 6"/>
    <w:basedOn w:val="37"/>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0">
    <w:name w:val="Medium Shading 1"/>
    <w:basedOn w:val="37"/>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blLayout w:type="fixed"/>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BFBFBF" w:themeFill="text1" w:themeFillTint="3F"/>
      </w:tcPr>
    </w:tblStylePr>
    <w:tblStylePr w:type="band1Horz">
      <w:tblPr>
        <w:tblLayout w:type="fixed"/>
      </w:tblPr>
      <w:tcPr>
        <w:tcBorders>
          <w:insideH w:val="nil"/>
          <w:insideV w:val="nil"/>
        </w:tcBorders>
        <w:shd w:val="clear" w:color="auto" w:fill="BFBFBF" w:themeFill="text1" w:themeFillTint="3F"/>
      </w:tcPr>
    </w:tblStylePr>
    <w:tblStylePr w:type="band2Horz">
      <w:tblPr>
        <w:tblLayout w:type="fixed"/>
      </w:tblPr>
      <w:tcPr>
        <w:tcBorders>
          <w:insideH w:val="nil"/>
          <w:insideV w:val="nil"/>
        </w:tcBorders>
      </w:tcPr>
    </w:tblStylePr>
  </w:style>
  <w:style w:type="table" w:styleId="61">
    <w:name w:val="Medium Shading 1 Accent 1"/>
    <w:basedOn w:val="37"/>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blLayout w:type="fixed"/>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3DFEE" w:themeFill="accent1" w:themeFillTint="3F"/>
      </w:tcPr>
    </w:tblStylePr>
    <w:tblStylePr w:type="band1Horz">
      <w:tblPr>
        <w:tblLayout w:type="fixed"/>
      </w:tblPr>
      <w:tcPr>
        <w:tcBorders>
          <w:insideH w:val="nil"/>
          <w:insideV w:val="nil"/>
        </w:tcBorders>
        <w:shd w:val="clear" w:color="auto" w:fill="D3DFEE" w:themeFill="accent1" w:themeFillTint="3F"/>
      </w:tcPr>
    </w:tblStylePr>
    <w:tblStylePr w:type="band2Horz">
      <w:tblPr>
        <w:tblLayout w:type="fixed"/>
      </w:tblPr>
      <w:tcPr>
        <w:tcBorders>
          <w:insideH w:val="nil"/>
          <w:insideV w:val="nil"/>
        </w:tcBorders>
      </w:tcPr>
    </w:tblStylePr>
  </w:style>
  <w:style w:type="table" w:styleId="62">
    <w:name w:val="Medium Shading 1 Accent 2"/>
    <w:basedOn w:val="37"/>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blLayout w:type="fixed"/>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FD3D3" w:themeFill="accent2" w:themeFillTint="3F"/>
      </w:tcPr>
    </w:tblStylePr>
    <w:tblStylePr w:type="band1Horz">
      <w:tblPr>
        <w:tblLayout w:type="fixed"/>
      </w:tblPr>
      <w:tcPr>
        <w:tcBorders>
          <w:insideH w:val="nil"/>
          <w:insideV w:val="nil"/>
        </w:tcBorders>
        <w:shd w:val="clear" w:color="auto" w:fill="EFD3D3" w:themeFill="accent2" w:themeFillTint="3F"/>
      </w:tcPr>
    </w:tblStylePr>
    <w:tblStylePr w:type="band2Horz">
      <w:tblPr>
        <w:tblLayout w:type="fixed"/>
      </w:tblPr>
      <w:tcPr>
        <w:tcBorders>
          <w:insideH w:val="nil"/>
          <w:insideV w:val="nil"/>
        </w:tcBorders>
      </w:tcPr>
    </w:tblStylePr>
  </w:style>
  <w:style w:type="table" w:styleId="63">
    <w:name w:val="Medium Shading 1 Accent 3"/>
    <w:basedOn w:val="37"/>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blLayout w:type="fixed"/>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6EED5" w:themeFill="accent3" w:themeFillTint="3F"/>
      </w:tcPr>
    </w:tblStylePr>
    <w:tblStylePr w:type="band1Horz">
      <w:tblPr>
        <w:tblLayout w:type="fixed"/>
      </w:tblPr>
      <w:tcPr>
        <w:tcBorders>
          <w:insideH w:val="nil"/>
          <w:insideV w:val="nil"/>
        </w:tcBorders>
        <w:shd w:val="clear" w:color="auto" w:fill="E6EED5" w:themeFill="accent3" w:themeFillTint="3F"/>
      </w:tcPr>
    </w:tblStylePr>
    <w:tblStylePr w:type="band2Horz">
      <w:tblPr>
        <w:tblLayout w:type="fixed"/>
      </w:tblPr>
      <w:tcPr>
        <w:tcBorders>
          <w:insideH w:val="nil"/>
          <w:insideV w:val="nil"/>
        </w:tcBorders>
      </w:tcPr>
    </w:tblStylePr>
  </w:style>
  <w:style w:type="table" w:styleId="64">
    <w:name w:val="Medium Shading 1 Accent 4"/>
    <w:basedOn w:val="37"/>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blLayout w:type="fixed"/>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FD8E8" w:themeFill="accent4" w:themeFillTint="3F"/>
      </w:tcPr>
    </w:tblStylePr>
    <w:tblStylePr w:type="band1Horz">
      <w:tblPr>
        <w:tblLayout w:type="fixed"/>
      </w:tblPr>
      <w:tcPr>
        <w:tcBorders>
          <w:insideH w:val="nil"/>
          <w:insideV w:val="nil"/>
        </w:tcBorders>
        <w:shd w:val="clear" w:color="auto" w:fill="DFD8E8" w:themeFill="accent4" w:themeFillTint="3F"/>
      </w:tcPr>
    </w:tblStylePr>
    <w:tblStylePr w:type="band2Horz">
      <w:tblPr>
        <w:tblLayout w:type="fixed"/>
      </w:tblPr>
      <w:tcPr>
        <w:tcBorders>
          <w:insideH w:val="nil"/>
          <w:insideV w:val="nil"/>
        </w:tcBorders>
      </w:tcPr>
    </w:tblStylePr>
  </w:style>
  <w:style w:type="table" w:styleId="65">
    <w:name w:val="Medium Shading 1 Accent 5"/>
    <w:basedOn w:val="37"/>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blLayout w:type="fixed"/>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2EAF0" w:themeFill="accent5" w:themeFillTint="3F"/>
      </w:tcPr>
    </w:tblStylePr>
    <w:tblStylePr w:type="band1Horz">
      <w:tblPr>
        <w:tblLayout w:type="fixed"/>
      </w:tblPr>
      <w:tcPr>
        <w:tcBorders>
          <w:insideH w:val="nil"/>
          <w:insideV w:val="nil"/>
        </w:tcBorders>
        <w:shd w:val="clear" w:color="auto" w:fill="D2EAF0" w:themeFill="accent5" w:themeFillTint="3F"/>
      </w:tcPr>
    </w:tblStylePr>
    <w:tblStylePr w:type="band2Horz">
      <w:tblPr>
        <w:tblLayout w:type="fixed"/>
      </w:tblPr>
      <w:tcPr>
        <w:tcBorders>
          <w:insideH w:val="nil"/>
          <w:insideV w:val="nil"/>
        </w:tcBorders>
      </w:tcPr>
    </w:tblStylePr>
  </w:style>
  <w:style w:type="table" w:styleId="66">
    <w:name w:val="Medium Shading 1 Accent 6"/>
    <w:basedOn w:val="37"/>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blLayout w:type="fixed"/>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FDE5D1" w:themeFill="accent6" w:themeFillTint="3F"/>
      </w:tcPr>
    </w:tblStylePr>
    <w:tblStylePr w:type="band1Horz">
      <w:tblPr>
        <w:tblLayout w:type="fixed"/>
      </w:tblPr>
      <w:tcPr>
        <w:tcBorders>
          <w:insideH w:val="nil"/>
          <w:insideV w:val="nil"/>
        </w:tcBorders>
        <w:shd w:val="clear" w:color="auto" w:fill="FDE5D1" w:themeFill="accent6" w:themeFillTint="3F"/>
      </w:tcPr>
    </w:tblStylePr>
    <w:tblStylePr w:type="band2Horz">
      <w:tblPr>
        <w:tblLayout w:type="fixed"/>
      </w:tblPr>
      <w:tcPr>
        <w:tcBorders>
          <w:insideH w:val="nil"/>
          <w:insideV w:val="nil"/>
        </w:tcBorders>
      </w:tcPr>
    </w:tblStylePr>
  </w:style>
  <w:style w:type="table" w:styleId="67">
    <w:name w:val="Medium Shading 2"/>
    <w:basedOn w:val="37"/>
    <w:qFormat/>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000000" w:themeFill="tex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8">
    <w:name w:val="Medium Shading 2 Accent 1"/>
    <w:basedOn w:val="37"/>
    <w:qFormat/>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F81BD" w:themeFill="accen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9">
    <w:name w:val="Medium Shading 2 Accent 2"/>
    <w:basedOn w:val="37"/>
    <w:qFormat/>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C0504D" w:themeFill="accent2"/>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0">
    <w:name w:val="Medium Shading 2 Accent 3"/>
    <w:basedOn w:val="37"/>
    <w:qFormat/>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9BBB59" w:themeFill="accent3"/>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1">
    <w:name w:val="Medium Shading 2 Accent 4"/>
    <w:basedOn w:val="37"/>
    <w:qFormat/>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8064A2" w:themeFill="accent4"/>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2">
    <w:name w:val="Medium Shading 2 Accent 5"/>
    <w:basedOn w:val="37"/>
    <w:qFormat/>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BACC6" w:themeFill="accent5"/>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3">
    <w:name w:val="Medium Shading 2 Accent 6"/>
    <w:basedOn w:val="37"/>
    <w:qFormat/>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F79646" w:themeFill="accent6"/>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4">
    <w:name w:val="Medium List 1"/>
    <w:basedOn w:val="37"/>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blLayout w:type="fixed"/>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blLayout w:type="fixed"/>
      </w:tblPr>
      <w:tcPr>
        <w:tcBorders>
          <w:top w:val="single" w:color="000000" w:themeColor="text1" w:sz="8" w:space="0"/>
          <w:bottom w:val="single" w:color="000000" w:themeColor="text1" w:sz="8" w:space="0"/>
        </w:tcBorders>
      </w:tcPr>
    </w:tblStylePr>
    <w:tblStylePr w:type="band1Vert">
      <w:tblPr>
        <w:tblLayout w:type="fixed"/>
      </w:tblPr>
      <w:tcPr>
        <w:shd w:val="clear" w:color="auto" w:fill="BFBFBF" w:themeFill="text1" w:themeFillTint="3F"/>
      </w:tcPr>
    </w:tblStylePr>
    <w:tblStylePr w:type="band1Horz">
      <w:tblPr>
        <w:tblLayout w:type="fixed"/>
      </w:tblPr>
      <w:tcPr>
        <w:shd w:val="clear" w:color="auto" w:fill="BFBFBF" w:themeFill="text1" w:themeFillTint="3F"/>
      </w:tcPr>
    </w:tblStylePr>
  </w:style>
  <w:style w:type="table" w:styleId="75">
    <w:name w:val="Medium List 1 Accent 1"/>
    <w:basedOn w:val="37"/>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blLayout w:type="fixed"/>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blLayout w:type="fixed"/>
      </w:tblPr>
      <w:tcPr>
        <w:tcBorders>
          <w:top w:val="single" w:color="4F81BD" w:themeColor="accent1" w:sz="8" w:space="0"/>
          <w:bottom w:val="single" w:color="4F81BD" w:themeColor="accent1" w:sz="8" w:space="0"/>
        </w:tcBorders>
      </w:tcPr>
    </w:tblStylePr>
    <w:tblStylePr w:type="band1Vert">
      <w:tblPr>
        <w:tblLayout w:type="fixed"/>
      </w:tblPr>
      <w:tcPr>
        <w:shd w:val="clear" w:color="auto" w:fill="D3DFEE" w:themeFill="accent1" w:themeFillTint="3F"/>
      </w:tcPr>
    </w:tblStylePr>
    <w:tblStylePr w:type="band1Horz">
      <w:tblPr>
        <w:tblLayout w:type="fixed"/>
      </w:tblPr>
      <w:tcPr>
        <w:shd w:val="clear" w:color="auto" w:fill="D3DFEE" w:themeFill="accent1" w:themeFillTint="3F"/>
      </w:tcPr>
    </w:tblStylePr>
  </w:style>
  <w:style w:type="table" w:styleId="76">
    <w:name w:val="Medium List 1 Accent 2"/>
    <w:basedOn w:val="37"/>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blLayout w:type="fixed"/>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blLayout w:type="fixed"/>
      </w:tblPr>
      <w:tcPr>
        <w:tcBorders>
          <w:top w:val="single" w:color="C0504D" w:themeColor="accent2" w:sz="8" w:space="0"/>
          <w:bottom w:val="single" w:color="C0504D" w:themeColor="accent2" w:sz="8" w:space="0"/>
        </w:tcBorders>
      </w:tcPr>
    </w:tblStylePr>
    <w:tblStylePr w:type="band1Vert">
      <w:tblPr>
        <w:tblLayout w:type="fixed"/>
      </w:tblPr>
      <w:tcPr>
        <w:shd w:val="clear" w:color="auto" w:fill="EFD3D3" w:themeFill="accent2" w:themeFillTint="3F"/>
      </w:tcPr>
    </w:tblStylePr>
    <w:tblStylePr w:type="band1Horz">
      <w:tblPr>
        <w:tblLayout w:type="fixed"/>
      </w:tblPr>
      <w:tcPr>
        <w:shd w:val="clear" w:color="auto" w:fill="EFD3D3" w:themeFill="accent2" w:themeFillTint="3F"/>
      </w:tcPr>
    </w:tblStylePr>
  </w:style>
  <w:style w:type="table" w:styleId="77">
    <w:name w:val="Medium List 1 Accent 3"/>
    <w:basedOn w:val="37"/>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blLayout w:type="fixed"/>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blLayout w:type="fixed"/>
      </w:tblPr>
      <w:tcPr>
        <w:tcBorders>
          <w:top w:val="single" w:color="9BBB59" w:themeColor="accent3" w:sz="8" w:space="0"/>
          <w:bottom w:val="single" w:color="9BBB59" w:themeColor="accent3" w:sz="8" w:space="0"/>
        </w:tcBorders>
      </w:tcPr>
    </w:tblStylePr>
    <w:tblStylePr w:type="band1Vert">
      <w:tblPr>
        <w:tblLayout w:type="fixed"/>
      </w:tblPr>
      <w:tcPr>
        <w:shd w:val="clear" w:color="auto" w:fill="E6EED5" w:themeFill="accent3" w:themeFillTint="3F"/>
      </w:tcPr>
    </w:tblStylePr>
    <w:tblStylePr w:type="band1Horz">
      <w:tblPr>
        <w:tblLayout w:type="fixed"/>
      </w:tblPr>
      <w:tcPr>
        <w:shd w:val="clear" w:color="auto" w:fill="E6EED5" w:themeFill="accent3" w:themeFillTint="3F"/>
      </w:tcPr>
    </w:tblStylePr>
  </w:style>
  <w:style w:type="table" w:styleId="78">
    <w:name w:val="Medium List 1 Accent 4"/>
    <w:basedOn w:val="37"/>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blLayout w:type="fixed"/>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blLayout w:type="fixed"/>
      </w:tblPr>
      <w:tcPr>
        <w:tcBorders>
          <w:top w:val="single" w:color="8064A2" w:themeColor="accent4" w:sz="8" w:space="0"/>
          <w:bottom w:val="single" w:color="8064A2" w:themeColor="accent4" w:sz="8" w:space="0"/>
        </w:tcBorders>
      </w:tcPr>
    </w:tblStylePr>
    <w:tblStylePr w:type="band1Vert">
      <w:tblPr>
        <w:tblLayout w:type="fixed"/>
      </w:tblPr>
      <w:tcPr>
        <w:shd w:val="clear" w:color="auto" w:fill="DFD8E8" w:themeFill="accent4" w:themeFillTint="3F"/>
      </w:tcPr>
    </w:tblStylePr>
    <w:tblStylePr w:type="band1Horz">
      <w:tblPr>
        <w:tblLayout w:type="fixed"/>
      </w:tblPr>
      <w:tcPr>
        <w:shd w:val="clear" w:color="auto" w:fill="DFD8E8" w:themeFill="accent4" w:themeFillTint="3F"/>
      </w:tcPr>
    </w:tblStylePr>
  </w:style>
  <w:style w:type="table" w:styleId="79">
    <w:name w:val="Medium List 1 Accent 5"/>
    <w:basedOn w:val="37"/>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blLayout w:type="fixed"/>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blLayout w:type="fixed"/>
      </w:tblPr>
      <w:tcPr>
        <w:tcBorders>
          <w:top w:val="single" w:color="4BACC6" w:themeColor="accent5" w:sz="8" w:space="0"/>
          <w:bottom w:val="single" w:color="4BACC6" w:themeColor="accent5" w:sz="8" w:space="0"/>
        </w:tcBorders>
      </w:tcPr>
    </w:tblStylePr>
    <w:tblStylePr w:type="band1Vert">
      <w:tblPr>
        <w:tblLayout w:type="fixed"/>
      </w:tblPr>
      <w:tcPr>
        <w:shd w:val="clear" w:color="auto" w:fill="D2EAF0" w:themeFill="accent5" w:themeFillTint="3F"/>
      </w:tcPr>
    </w:tblStylePr>
    <w:tblStylePr w:type="band1Horz">
      <w:tblPr>
        <w:tblLayout w:type="fixed"/>
      </w:tblPr>
      <w:tcPr>
        <w:shd w:val="clear" w:color="auto" w:fill="D2EAF0" w:themeFill="accent5" w:themeFillTint="3F"/>
      </w:tcPr>
    </w:tblStylePr>
  </w:style>
  <w:style w:type="table" w:styleId="80">
    <w:name w:val="Medium List 1 Accent 6"/>
    <w:basedOn w:val="37"/>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blLayout w:type="fixed"/>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blLayout w:type="fixed"/>
      </w:tblPr>
      <w:tcPr>
        <w:tcBorders>
          <w:top w:val="single" w:color="F79646" w:themeColor="accent6" w:sz="8" w:space="0"/>
          <w:bottom w:val="single" w:color="F79646" w:themeColor="accent6" w:sz="8" w:space="0"/>
        </w:tcBorders>
      </w:tcPr>
    </w:tblStylePr>
    <w:tblStylePr w:type="band1Vert">
      <w:tblPr>
        <w:tblLayout w:type="fixed"/>
      </w:tblPr>
      <w:tcPr>
        <w:shd w:val="clear" w:color="auto" w:fill="FDE5D1" w:themeFill="accent6" w:themeFillTint="3F"/>
      </w:tcPr>
    </w:tblStylePr>
    <w:tblStylePr w:type="band1Horz">
      <w:tblPr>
        <w:tblLayout w:type="fixed"/>
      </w:tblPr>
      <w:tcPr>
        <w:shd w:val="clear" w:color="auto" w:fill="FDE5D1" w:themeFill="accent6" w:themeFillTint="3F"/>
      </w:tcPr>
    </w:tblStylePr>
  </w:style>
  <w:style w:type="table" w:styleId="81">
    <w:name w:val="Medium List 2"/>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blLayout w:type="fixed"/>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blLayout w:type="fixed"/>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top w:val="nil"/>
          <w:bottom w:val="nil"/>
          <w:insideH w:val="nil"/>
          <w:insideV w:val="nil"/>
        </w:tcBorders>
        <w:shd w:val="clear" w:color="auto" w:fill="BFBFBF" w:themeFill="tex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2">
    <w:name w:val="Medium List 2 Accent 1"/>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blLayout w:type="fixed"/>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blLayout w:type="fixed"/>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top w:val="nil"/>
          <w:bottom w:val="nil"/>
          <w:insideH w:val="nil"/>
          <w:insideV w:val="nil"/>
        </w:tcBorders>
        <w:shd w:val="clear" w:color="auto" w:fill="D3DFEE" w:themeFill="accen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3">
    <w:name w:val="Medium List 2 Accent 2"/>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blLayout w:type="fixed"/>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blLayout w:type="fixed"/>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top w:val="nil"/>
          <w:bottom w:val="nil"/>
          <w:insideH w:val="nil"/>
          <w:insideV w:val="nil"/>
        </w:tcBorders>
        <w:shd w:val="clear" w:color="auto" w:fill="EFD3D3" w:themeFill="accent2"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4">
    <w:name w:val="Medium List 2 Accent 3"/>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blLayout w:type="fixed"/>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blLayout w:type="fixed"/>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top w:val="nil"/>
          <w:bottom w:val="nil"/>
          <w:insideH w:val="nil"/>
          <w:insideV w:val="nil"/>
        </w:tcBorders>
        <w:shd w:val="clear" w:color="auto" w:fill="E6EED5" w:themeFill="accent3"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5">
    <w:name w:val="Medium List 2 Accent 4"/>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blLayout w:type="fixed"/>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blLayout w:type="fixed"/>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top w:val="nil"/>
          <w:bottom w:val="nil"/>
          <w:insideH w:val="nil"/>
          <w:insideV w:val="nil"/>
        </w:tcBorders>
        <w:shd w:val="clear" w:color="auto" w:fill="DFD8E8" w:themeFill="accent4"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6">
    <w:name w:val="Medium List 2 Accent 5"/>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blLayout w:type="fixed"/>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blLayout w:type="fixed"/>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top w:val="nil"/>
          <w:bottom w:val="nil"/>
          <w:insideH w:val="nil"/>
          <w:insideV w:val="nil"/>
        </w:tcBorders>
        <w:shd w:val="clear" w:color="auto" w:fill="D2EAF0" w:themeFill="accent5"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7">
    <w:name w:val="Medium List 2 Accent 6"/>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blLayout w:type="fixed"/>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blLayout w:type="fixed"/>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top w:val="nil"/>
          <w:bottom w:val="nil"/>
          <w:insideH w:val="nil"/>
          <w:insideV w:val="nil"/>
        </w:tcBorders>
        <w:shd w:val="clear" w:color="auto" w:fill="FDE5D1" w:themeFill="accent6"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8">
    <w:name w:val="Medium Grid 1"/>
    <w:basedOn w:val="37"/>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Layout w:type="fixed"/>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blLayout w:type="fixed"/>
      </w:tblPr>
      <w:tcPr>
        <w:tcBorders>
          <w:top w:val="single" w:color="3F3F3F" w:themeColor="text1" w:themeTint="BF" w:sz="18" w:space="0"/>
        </w:tcBorders>
      </w:tcPr>
    </w:tblStylePr>
    <w:tblStylePr w:type="firstCol">
      <w:rPr>
        <w:b/>
        <w:bCs/>
      </w:rPr>
    </w:tblStylePr>
    <w:tblStylePr w:type="lastCol">
      <w:rPr>
        <w:b/>
        <w:bCs/>
      </w:r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89">
    <w:name w:val="Medium Grid 1 Accent 1"/>
    <w:basedOn w:val="37"/>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Layout w:type="fixed"/>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blLayout w:type="fixed"/>
      </w:tblPr>
      <w:tcPr>
        <w:tcBorders>
          <w:top w:val="single" w:color="7BA0CD" w:themeColor="accent1" w:themeTint="BF" w:sz="18" w:space="0"/>
        </w:tcBorders>
      </w:tcPr>
    </w:tblStylePr>
    <w:tblStylePr w:type="firstCol">
      <w:rPr>
        <w:b/>
        <w:bCs/>
      </w:rPr>
    </w:tblStylePr>
    <w:tblStylePr w:type="lastCol">
      <w:rPr>
        <w:b/>
        <w:bCs/>
      </w:r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90">
    <w:name w:val="Medium Grid 1 Accent 2"/>
    <w:basedOn w:val="37"/>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Layout w:type="fixed"/>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blLayout w:type="fixed"/>
      </w:tblPr>
      <w:tcPr>
        <w:tcBorders>
          <w:top w:val="single" w:color="CF7B79" w:themeColor="accent2" w:themeTint="BF" w:sz="18" w:space="0"/>
        </w:tcBorders>
      </w:tcPr>
    </w:tblStylePr>
    <w:tblStylePr w:type="firstCol">
      <w:rPr>
        <w:b/>
        <w:bCs/>
      </w:rPr>
    </w:tblStylePr>
    <w:tblStylePr w:type="lastCol">
      <w:rPr>
        <w:b/>
        <w:bCs/>
      </w:r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91">
    <w:name w:val="Medium Grid 1 Accent 3"/>
    <w:basedOn w:val="37"/>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Layout w:type="fixed"/>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blLayout w:type="fixed"/>
      </w:tblPr>
      <w:tcPr>
        <w:tcBorders>
          <w:top w:val="single" w:color="B4CC82" w:themeColor="accent3" w:themeTint="BF" w:sz="18" w:space="0"/>
        </w:tcBorders>
      </w:tcPr>
    </w:tblStylePr>
    <w:tblStylePr w:type="firstCol">
      <w:rPr>
        <w:b/>
        <w:bCs/>
      </w:rPr>
    </w:tblStylePr>
    <w:tblStylePr w:type="lastCol">
      <w:rPr>
        <w:b/>
        <w:bCs/>
      </w:r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92">
    <w:name w:val="Medium Grid 1 Accent 4"/>
    <w:basedOn w:val="37"/>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Layout w:type="fixed"/>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blLayout w:type="fixed"/>
      </w:tblPr>
      <w:tcPr>
        <w:tcBorders>
          <w:top w:val="single" w:color="9F8AB9" w:themeColor="accent4" w:themeTint="BF" w:sz="18" w:space="0"/>
        </w:tcBorders>
      </w:tcPr>
    </w:tblStylePr>
    <w:tblStylePr w:type="firstCol">
      <w:rPr>
        <w:b/>
        <w:bCs/>
      </w:rPr>
    </w:tblStylePr>
    <w:tblStylePr w:type="lastCol">
      <w:rPr>
        <w:b/>
        <w:bCs/>
      </w:r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93">
    <w:name w:val="Medium Grid 1 Accent 5"/>
    <w:basedOn w:val="37"/>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Layout w:type="fixed"/>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blLayout w:type="fixed"/>
      </w:tblPr>
      <w:tcPr>
        <w:tcBorders>
          <w:top w:val="single" w:color="78C0D4" w:themeColor="accent5" w:themeTint="BF" w:sz="18" w:space="0"/>
        </w:tcBorders>
      </w:tcPr>
    </w:tblStylePr>
    <w:tblStylePr w:type="firstCol">
      <w:rPr>
        <w:b/>
        <w:bCs/>
      </w:rPr>
    </w:tblStylePr>
    <w:tblStylePr w:type="lastCol">
      <w:rPr>
        <w:b/>
        <w:bCs/>
      </w:r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94">
    <w:name w:val="Medium Grid 1 Accent 6"/>
    <w:basedOn w:val="37"/>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Layout w:type="fixed"/>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blLayout w:type="fixed"/>
      </w:tblPr>
      <w:tcPr>
        <w:tcBorders>
          <w:top w:val="single" w:color="F9B074" w:themeColor="accent6" w:themeTint="BF" w:sz="18" w:space="0"/>
        </w:tcBorders>
      </w:tcPr>
    </w:tblStylePr>
    <w:tblStylePr w:type="firstCol">
      <w:rPr>
        <w:b/>
        <w:bCs/>
      </w:rPr>
    </w:tblStylePr>
    <w:tblStylePr w:type="lastCol">
      <w:rPr>
        <w:b/>
        <w:bCs/>
      </w:r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table" w:styleId="95">
    <w:name w:val="Medium Grid 2"/>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blLayout w:type="fixed"/>
      </w:tblPr>
      <w:tcPr>
        <w:shd w:val="clear" w:color="auto" w:fill="E5E5E5" w:themeFill="tex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CCCCCC" w:themeFill="text1" w:themeFillTint="33"/>
      </w:tcPr>
    </w:tblStylePr>
    <w:tblStylePr w:type="band1Vert">
      <w:tblPr>
        <w:tblLayout w:type="fixed"/>
      </w:tblPr>
      <w:tcPr>
        <w:shd w:val="clear" w:color="auto" w:fill="7F7F7F" w:themeFill="text1" w:themeFillTint="7F"/>
      </w:tcPr>
    </w:tblStylePr>
    <w:tblStylePr w:type="band1Horz">
      <w:tblPr>
        <w:tblLayout w:type="fixed"/>
      </w:tblPr>
      <w:tcPr>
        <w:tcBorders>
          <w:insideH w:val="single" w:sz="6" w:space="0"/>
          <w:insideV w:val="single" w:sz="6" w:space="0"/>
        </w:tcBorders>
        <w:shd w:val="clear" w:color="auto" w:fill="7F7F7F" w:themeFill="text1" w:themeFillTint="7F"/>
      </w:tcPr>
    </w:tblStylePr>
    <w:tblStylePr w:type="nwCell">
      <w:tblPr>
        <w:tblLayout w:type="fixed"/>
      </w:tblPr>
      <w:tcPr>
        <w:shd w:val="clear" w:color="auto" w:fill="FFFFFF" w:themeFill="background1"/>
      </w:tcPr>
    </w:tblStylePr>
  </w:style>
  <w:style w:type="table" w:styleId="96">
    <w:name w:val="Medium Grid 2 Accent 1"/>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blLayout w:type="fixed"/>
      </w:tblPr>
      <w:tcPr>
        <w:shd w:val="clear" w:color="auto" w:fill="EDF2F8" w:themeFill="accen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BE5F1" w:themeFill="accent1" w:themeFillTint="33"/>
      </w:tcPr>
    </w:tblStylePr>
    <w:tblStylePr w:type="band1Vert">
      <w:tblPr>
        <w:tblLayout w:type="fixed"/>
      </w:tblPr>
      <w:tcPr>
        <w:shd w:val="clear" w:color="auto" w:fill="A7C0DE" w:themeFill="accent1" w:themeFillTint="7F"/>
      </w:tcPr>
    </w:tblStylePr>
    <w:tblStylePr w:type="band1Horz">
      <w:tblPr>
        <w:tblLayout w:type="fixed"/>
      </w:tblPr>
      <w:tcPr>
        <w:tcBorders>
          <w:insideH w:val="single" w:sz="6" w:space="0"/>
          <w:insideV w:val="single" w:sz="6" w:space="0"/>
        </w:tcBorders>
        <w:shd w:val="clear" w:color="auto" w:fill="A7C0DE" w:themeFill="accent1" w:themeFillTint="7F"/>
      </w:tcPr>
    </w:tblStylePr>
    <w:tblStylePr w:type="nwCell">
      <w:tblPr>
        <w:tblLayout w:type="fixed"/>
      </w:tblPr>
      <w:tcPr>
        <w:shd w:val="clear" w:color="auto" w:fill="FFFFFF" w:themeFill="background1"/>
      </w:tcPr>
    </w:tblStylePr>
  </w:style>
  <w:style w:type="table" w:styleId="97">
    <w:name w:val="Medium Grid 2 Accent 2"/>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blLayout w:type="fixed"/>
      </w:tblPr>
      <w:tcPr>
        <w:shd w:val="clear" w:color="auto" w:fill="F8EDED" w:themeFill="accent2"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2DBDB" w:themeFill="accent2" w:themeFillTint="33"/>
      </w:tcPr>
    </w:tblStylePr>
    <w:tblStylePr w:type="band1Vert">
      <w:tblPr>
        <w:tblLayout w:type="fixed"/>
      </w:tblPr>
      <w:tcPr>
        <w:shd w:val="clear" w:color="auto" w:fill="DFA7A6" w:themeFill="accent2" w:themeFillTint="7F"/>
      </w:tcPr>
    </w:tblStylePr>
    <w:tblStylePr w:type="band1Horz">
      <w:tblPr>
        <w:tblLayout w:type="fixed"/>
      </w:tblPr>
      <w:tcPr>
        <w:tcBorders>
          <w:insideH w:val="single" w:sz="6" w:space="0"/>
          <w:insideV w:val="single" w:sz="6" w:space="0"/>
        </w:tcBorders>
        <w:shd w:val="clear" w:color="auto" w:fill="DFA7A6" w:themeFill="accent2" w:themeFillTint="7F"/>
      </w:tcPr>
    </w:tblStylePr>
    <w:tblStylePr w:type="nwCell">
      <w:tblPr>
        <w:tblLayout w:type="fixed"/>
      </w:tblPr>
      <w:tcPr>
        <w:shd w:val="clear" w:color="auto" w:fill="FFFFFF" w:themeFill="background1"/>
      </w:tcPr>
    </w:tblStylePr>
  </w:style>
  <w:style w:type="table" w:styleId="98">
    <w:name w:val="Medium Grid 2 Accent 3"/>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blLayout w:type="fixed"/>
      </w:tblPr>
      <w:tcPr>
        <w:shd w:val="clear" w:color="auto" w:fill="F5F8EE" w:themeFill="accent3"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AF1DD" w:themeFill="accent3" w:themeFillTint="33"/>
      </w:tcPr>
    </w:tblStylePr>
    <w:tblStylePr w:type="band1Vert">
      <w:tblPr>
        <w:tblLayout w:type="fixed"/>
      </w:tblPr>
      <w:tcPr>
        <w:shd w:val="clear" w:color="auto" w:fill="CDDDAC" w:themeFill="accent3" w:themeFillTint="7F"/>
      </w:tcPr>
    </w:tblStylePr>
    <w:tblStylePr w:type="band1Horz">
      <w:tblPr>
        <w:tblLayout w:type="fixed"/>
      </w:tblPr>
      <w:tcPr>
        <w:tcBorders>
          <w:insideH w:val="single" w:sz="6" w:space="0"/>
          <w:insideV w:val="single" w:sz="6" w:space="0"/>
        </w:tcBorders>
        <w:shd w:val="clear" w:color="auto" w:fill="CDDDAC" w:themeFill="accent3" w:themeFillTint="7F"/>
      </w:tcPr>
    </w:tblStylePr>
    <w:tblStylePr w:type="nwCell">
      <w:tblPr>
        <w:tblLayout w:type="fixed"/>
      </w:tblPr>
      <w:tcPr>
        <w:shd w:val="clear" w:color="auto" w:fill="FFFFFF" w:themeFill="background1"/>
      </w:tcPr>
    </w:tblStylePr>
  </w:style>
  <w:style w:type="table" w:styleId="99">
    <w:name w:val="Medium Grid 2 Accent 4"/>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blLayout w:type="fixed"/>
      </w:tblPr>
      <w:tcPr>
        <w:shd w:val="clear" w:color="auto" w:fill="F2EFF5" w:themeFill="accent4"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5DFEC" w:themeFill="accent4" w:themeFillTint="33"/>
      </w:tcPr>
    </w:tblStylePr>
    <w:tblStylePr w:type="band1Vert">
      <w:tblPr>
        <w:tblLayout w:type="fixed"/>
      </w:tblPr>
      <w:tcPr>
        <w:shd w:val="clear" w:color="auto" w:fill="BFB1D0" w:themeFill="accent4" w:themeFillTint="7F"/>
      </w:tcPr>
    </w:tblStylePr>
    <w:tblStylePr w:type="band1Horz">
      <w:tblPr>
        <w:tblLayout w:type="fixed"/>
      </w:tblPr>
      <w:tcPr>
        <w:tcBorders>
          <w:insideH w:val="single" w:sz="6" w:space="0"/>
          <w:insideV w:val="single" w:sz="6" w:space="0"/>
        </w:tcBorders>
        <w:shd w:val="clear" w:color="auto" w:fill="BFB1D0" w:themeFill="accent4" w:themeFillTint="7F"/>
      </w:tcPr>
    </w:tblStylePr>
    <w:tblStylePr w:type="nwCell">
      <w:tblPr>
        <w:tblLayout w:type="fixed"/>
      </w:tblPr>
      <w:tcPr>
        <w:shd w:val="clear" w:color="auto" w:fill="FFFFFF" w:themeFill="background1"/>
      </w:tcPr>
    </w:tblStylePr>
  </w:style>
  <w:style w:type="table" w:styleId="100">
    <w:name w:val="Medium Grid 2 Accent 5"/>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blLayout w:type="fixed"/>
      </w:tblPr>
      <w:tcPr>
        <w:shd w:val="clear" w:color="auto" w:fill="EDF6F9" w:themeFill="accent5"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AEEF3" w:themeFill="accent5" w:themeFillTint="33"/>
      </w:tcPr>
    </w:tblStylePr>
    <w:tblStylePr w:type="band1Vert">
      <w:tblPr>
        <w:tblLayout w:type="fixed"/>
      </w:tblPr>
      <w:tcPr>
        <w:shd w:val="clear" w:color="auto" w:fill="A5D5E2" w:themeFill="accent5" w:themeFillTint="7F"/>
      </w:tcPr>
    </w:tblStylePr>
    <w:tblStylePr w:type="band1Horz">
      <w:tblPr>
        <w:tblLayout w:type="fixed"/>
      </w:tblPr>
      <w:tcPr>
        <w:tcBorders>
          <w:insideH w:val="single" w:sz="6" w:space="0"/>
          <w:insideV w:val="single" w:sz="6" w:space="0"/>
        </w:tcBorders>
        <w:shd w:val="clear" w:color="auto" w:fill="A5D5E2" w:themeFill="accent5" w:themeFillTint="7F"/>
      </w:tcPr>
    </w:tblStylePr>
    <w:tblStylePr w:type="nwCell">
      <w:tblPr>
        <w:tblLayout w:type="fixed"/>
      </w:tblPr>
      <w:tcPr>
        <w:shd w:val="clear" w:color="auto" w:fill="FFFFFF" w:themeFill="background1"/>
      </w:tcPr>
    </w:tblStylePr>
  </w:style>
  <w:style w:type="table" w:styleId="101">
    <w:name w:val="Medium Grid 2 Accent 6"/>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blLayout w:type="fixed"/>
      </w:tblPr>
      <w:tcPr>
        <w:shd w:val="clear" w:color="auto" w:fill="FEF4EC" w:themeFill="accent6"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DE9D9" w:themeFill="accent6" w:themeFillTint="33"/>
      </w:tcPr>
    </w:tblStylePr>
    <w:tblStylePr w:type="band1Vert">
      <w:tblPr>
        <w:tblLayout w:type="fixed"/>
      </w:tblPr>
      <w:tcPr>
        <w:shd w:val="clear" w:color="auto" w:fill="FBCAA2" w:themeFill="accent6" w:themeFillTint="7F"/>
      </w:tcPr>
    </w:tblStylePr>
    <w:tblStylePr w:type="band1Horz">
      <w:tblPr>
        <w:tblLayout w:type="fixed"/>
      </w:tblPr>
      <w:tcPr>
        <w:tcBorders>
          <w:insideH w:val="single" w:sz="6" w:space="0"/>
          <w:insideV w:val="single" w:sz="6" w:space="0"/>
        </w:tcBorders>
        <w:shd w:val="clear" w:color="auto" w:fill="FBCAA2" w:themeFill="accent6" w:themeFillTint="7F"/>
      </w:tcPr>
    </w:tblStylePr>
    <w:tblStylePr w:type="nwCell">
      <w:tblPr>
        <w:tblLayout w:type="fixed"/>
      </w:tblPr>
      <w:tcPr>
        <w:shd w:val="clear" w:color="auto" w:fill="FFFFFF" w:themeFill="background1"/>
      </w:tcPr>
    </w:tblStylePr>
  </w:style>
  <w:style w:type="table" w:styleId="102">
    <w:name w:val="Medium Grid 3"/>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3">
    <w:name w:val="Medium Grid 3 Accent 1"/>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4">
    <w:name w:val="Medium Grid 3 Accent 2"/>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5">
    <w:name w:val="Medium Grid 3 Accent 3"/>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6">
    <w:name w:val="Medium Grid 3 Accent 4"/>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7">
    <w:name w:val="Medium Grid 3 Accent 5"/>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8">
    <w:name w:val="Medium Grid 3 Accent 6"/>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9">
    <w:name w:val="Dark List"/>
    <w:basedOn w:val="37"/>
    <w:qFormat/>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000000" w:themeFill="tex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blLayout w:type="fixed"/>
      </w:tblPr>
      <w:tcPr>
        <w:tcBorders>
          <w:top w:val="nil"/>
          <w:left w:val="nil"/>
          <w:bottom w:val="nil"/>
          <w:right w:val="nil"/>
          <w:insideH w:val="nil"/>
          <w:insideV w:val="nil"/>
        </w:tcBorders>
        <w:shd w:val="clear" w:color="auto" w:fill="000000" w:themeFill="text1" w:themeFillShade="BF"/>
      </w:tcPr>
    </w:tblStylePr>
    <w:tblStylePr w:type="band1Horz">
      <w:tblPr>
        <w:tblLayout w:type="fixed"/>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37"/>
    <w:qFormat/>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4F81BD" w:themeFill="accen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blLayout w:type="fixed"/>
      </w:tblPr>
      <w:tcPr>
        <w:tcBorders>
          <w:top w:val="nil"/>
          <w:left w:val="nil"/>
          <w:bottom w:val="nil"/>
          <w:right w:val="nil"/>
          <w:insideH w:val="nil"/>
          <w:insideV w:val="nil"/>
        </w:tcBorders>
        <w:shd w:val="clear" w:color="auto" w:fill="366091" w:themeFill="accent1" w:themeFillShade="BF"/>
      </w:tcPr>
    </w:tblStylePr>
    <w:tblStylePr w:type="band1Horz">
      <w:tblPr>
        <w:tblLayout w:type="fixed"/>
      </w:tblPr>
      <w:tcPr>
        <w:tcBorders>
          <w:top w:val="nil"/>
          <w:left w:val="nil"/>
          <w:bottom w:val="nil"/>
          <w:right w:val="nil"/>
          <w:insideH w:val="nil"/>
          <w:insideV w:val="nil"/>
        </w:tcBorders>
        <w:shd w:val="clear" w:color="auto" w:fill="366091" w:themeFill="accent1" w:themeFillShade="BF"/>
      </w:tcPr>
    </w:tblStylePr>
  </w:style>
  <w:style w:type="table" w:styleId="111">
    <w:name w:val="Dark List Accent 2"/>
    <w:basedOn w:val="37"/>
    <w:qFormat/>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C0504D" w:themeFill="accent2"/>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blLayout w:type="fixed"/>
      </w:tblPr>
      <w:tcPr>
        <w:tcBorders>
          <w:top w:val="nil"/>
          <w:left w:val="nil"/>
          <w:bottom w:val="nil"/>
          <w:right w:val="nil"/>
          <w:insideH w:val="nil"/>
          <w:insideV w:val="nil"/>
        </w:tcBorders>
        <w:shd w:val="clear" w:color="auto" w:fill="943734" w:themeFill="accent2" w:themeFillShade="BF"/>
      </w:tcPr>
    </w:tblStylePr>
    <w:tblStylePr w:type="band1Horz">
      <w:tblPr>
        <w:tblLayout w:type="fixed"/>
      </w:tblPr>
      <w:tcPr>
        <w:tcBorders>
          <w:top w:val="nil"/>
          <w:left w:val="nil"/>
          <w:bottom w:val="nil"/>
          <w:right w:val="nil"/>
          <w:insideH w:val="nil"/>
          <w:insideV w:val="nil"/>
        </w:tcBorders>
        <w:shd w:val="clear" w:color="auto" w:fill="943734" w:themeFill="accent2" w:themeFillShade="BF"/>
      </w:tcPr>
    </w:tblStylePr>
  </w:style>
  <w:style w:type="table" w:styleId="112">
    <w:name w:val="Dark List Accent 3"/>
    <w:basedOn w:val="37"/>
    <w:qFormat/>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9BBB59" w:themeFill="accent3"/>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blLayout w:type="fixed"/>
      </w:tblPr>
      <w:tcPr>
        <w:tcBorders>
          <w:top w:val="nil"/>
          <w:left w:val="nil"/>
          <w:bottom w:val="nil"/>
          <w:right w:val="nil"/>
          <w:insideH w:val="nil"/>
          <w:insideV w:val="nil"/>
        </w:tcBorders>
        <w:shd w:val="clear" w:color="auto" w:fill="76923C" w:themeFill="accent3" w:themeFillShade="BF"/>
      </w:tcPr>
    </w:tblStylePr>
    <w:tblStylePr w:type="band1Horz">
      <w:tblPr>
        <w:tblLayout w:type="fixed"/>
      </w:tblPr>
      <w:tcPr>
        <w:tcBorders>
          <w:top w:val="nil"/>
          <w:left w:val="nil"/>
          <w:bottom w:val="nil"/>
          <w:right w:val="nil"/>
          <w:insideH w:val="nil"/>
          <w:insideV w:val="nil"/>
        </w:tcBorders>
        <w:shd w:val="clear" w:color="auto" w:fill="76923C" w:themeFill="accent3" w:themeFillShade="BF"/>
      </w:tcPr>
    </w:tblStylePr>
  </w:style>
  <w:style w:type="table" w:styleId="113">
    <w:name w:val="Dark List Accent 4"/>
    <w:basedOn w:val="37"/>
    <w:qFormat/>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8064A2" w:themeFill="accent4"/>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blLayout w:type="fixed"/>
      </w:tblPr>
      <w:tcPr>
        <w:tcBorders>
          <w:top w:val="nil"/>
          <w:left w:val="nil"/>
          <w:bottom w:val="nil"/>
          <w:right w:val="nil"/>
          <w:insideH w:val="nil"/>
          <w:insideV w:val="nil"/>
        </w:tcBorders>
        <w:shd w:val="clear" w:color="auto" w:fill="5F497A" w:themeFill="accent4" w:themeFillShade="BF"/>
      </w:tcPr>
    </w:tblStylePr>
    <w:tblStylePr w:type="band1Horz">
      <w:tblPr>
        <w:tblLayout w:type="fixed"/>
      </w:tblPr>
      <w:tcPr>
        <w:tcBorders>
          <w:top w:val="nil"/>
          <w:left w:val="nil"/>
          <w:bottom w:val="nil"/>
          <w:right w:val="nil"/>
          <w:insideH w:val="nil"/>
          <w:insideV w:val="nil"/>
        </w:tcBorders>
        <w:shd w:val="clear" w:color="auto" w:fill="5F497A" w:themeFill="accent4" w:themeFillShade="BF"/>
      </w:tcPr>
    </w:tblStylePr>
  </w:style>
  <w:style w:type="table" w:styleId="114">
    <w:name w:val="Dark List Accent 5"/>
    <w:basedOn w:val="37"/>
    <w:qFormat/>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4BACC6" w:themeFill="accent5"/>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blLayout w:type="fixed"/>
      </w:tblPr>
      <w:tcPr>
        <w:tcBorders>
          <w:top w:val="nil"/>
          <w:left w:val="nil"/>
          <w:bottom w:val="nil"/>
          <w:right w:val="nil"/>
          <w:insideH w:val="nil"/>
          <w:insideV w:val="nil"/>
        </w:tcBorders>
        <w:shd w:val="clear" w:color="auto" w:fill="31849B" w:themeFill="accent5" w:themeFillShade="BF"/>
      </w:tcPr>
    </w:tblStylePr>
    <w:tblStylePr w:type="band1Horz">
      <w:tblPr>
        <w:tblLayout w:type="fixed"/>
      </w:tblPr>
      <w:tcPr>
        <w:tcBorders>
          <w:top w:val="nil"/>
          <w:left w:val="nil"/>
          <w:bottom w:val="nil"/>
          <w:right w:val="nil"/>
          <w:insideH w:val="nil"/>
          <w:insideV w:val="nil"/>
        </w:tcBorders>
        <w:shd w:val="clear" w:color="auto" w:fill="31849B" w:themeFill="accent5" w:themeFillShade="BF"/>
      </w:tcPr>
    </w:tblStylePr>
  </w:style>
  <w:style w:type="table" w:styleId="115">
    <w:name w:val="Dark List Accent 6"/>
    <w:basedOn w:val="37"/>
    <w:qFormat/>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F79646" w:themeFill="accent6"/>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blLayout w:type="fixed"/>
      </w:tblPr>
      <w:tcPr>
        <w:tcBorders>
          <w:top w:val="nil"/>
          <w:left w:val="nil"/>
          <w:bottom w:val="nil"/>
          <w:right w:val="nil"/>
          <w:insideH w:val="nil"/>
          <w:insideV w:val="nil"/>
        </w:tcBorders>
        <w:shd w:val="clear" w:color="auto" w:fill="E36C09" w:themeFill="accent6" w:themeFillShade="BF"/>
      </w:tcPr>
    </w:tblStylePr>
    <w:tblStylePr w:type="band1Horz">
      <w:tblPr>
        <w:tblLayout w:type="fixed"/>
      </w:tblPr>
      <w:tcPr>
        <w:tcBorders>
          <w:top w:val="nil"/>
          <w:left w:val="nil"/>
          <w:bottom w:val="nil"/>
          <w:right w:val="nil"/>
          <w:insideH w:val="nil"/>
          <w:insideV w:val="nil"/>
        </w:tcBorders>
        <w:shd w:val="clear" w:color="auto" w:fill="E36C09" w:themeFill="accent6" w:themeFillShade="BF"/>
      </w:tcPr>
    </w:tblStylePr>
  </w:style>
  <w:style w:type="table" w:styleId="116">
    <w:name w:val="Colorful Shading"/>
    <w:basedOn w:val="37"/>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E5E5E5" w:themeFill="tex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000000" w:themeFill="text1" w:themeFillShade="BF"/>
      </w:tcPr>
    </w:tblStylePr>
    <w:tblStylePr w:type="band1Vert">
      <w:tblPr>
        <w:tblLayout w:type="fixed"/>
      </w:tblPr>
      <w:tcPr>
        <w:shd w:val="clear" w:color="auto" w:fill="999999" w:themeFill="text1" w:themeFillTint="66"/>
      </w:tcPr>
    </w:tblStylePr>
    <w:tblStylePr w:type="band1Horz">
      <w:tblPr>
        <w:tblLayout w:type="fixed"/>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1"/>
    <w:basedOn w:val="37"/>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EDF2F8" w:themeFill="accen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B4D74" w:themeFill="accent1" w:themeFillShade="99"/>
      </w:tcPr>
    </w:tblStylePr>
    <w:tblStylePr w:type="band1Vert">
      <w:tblPr>
        <w:tblLayout w:type="fixed"/>
      </w:tblPr>
      <w:tcPr>
        <w:shd w:val="clear" w:color="auto" w:fill="B8CCE4" w:themeFill="accent1" w:themeFillTint="66"/>
      </w:tcPr>
    </w:tblStylePr>
    <w:tblStylePr w:type="band1Horz">
      <w:tblPr>
        <w:tblLayout w:type="fixed"/>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2"/>
    <w:basedOn w:val="37"/>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8EDED" w:themeFill="accent2"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772C2A" w:themeFill="accent2" w:themeFillShade="99"/>
      </w:tcPr>
    </w:tblStylePr>
    <w:tblStylePr w:type="band1Vert">
      <w:tblPr>
        <w:tblLayout w:type="fixed"/>
      </w:tblPr>
      <w:tcPr>
        <w:shd w:val="clear" w:color="auto" w:fill="E5B8B7" w:themeFill="accent2" w:themeFillTint="66"/>
      </w:tcPr>
    </w:tblStylePr>
    <w:tblStylePr w:type="band1Horz">
      <w:tblPr>
        <w:tblLayout w:type="fixed"/>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3"/>
    <w:basedOn w:val="37"/>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5F8EE" w:themeFill="accent3" w:themeFillTint="19"/>
    </w:tcPr>
    <w:tblStylePr w:type="firstRow">
      <w:rPr>
        <w:b/>
        <w:bCs/>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5E7530" w:themeFill="accent3" w:themeFillShade="99"/>
      </w:tcPr>
    </w:tblStylePr>
    <w:tblStylePr w:type="band1Vert">
      <w:tblPr>
        <w:tblLayout w:type="fixed"/>
      </w:tblPr>
      <w:tcPr>
        <w:shd w:val="clear" w:color="auto" w:fill="D6E3BC" w:themeFill="accent3" w:themeFillTint="66"/>
      </w:tcPr>
    </w:tblStylePr>
    <w:tblStylePr w:type="band1Horz">
      <w:tblPr>
        <w:tblLayout w:type="fixed"/>
      </w:tblPr>
      <w:tcPr>
        <w:shd w:val="clear" w:color="auto" w:fill="CDDDAC" w:themeFill="accent3" w:themeFillTint="7F"/>
      </w:tcPr>
    </w:tblStylePr>
  </w:style>
  <w:style w:type="table" w:styleId="120">
    <w:name w:val="Colorful Shading Accent 4"/>
    <w:basedOn w:val="37"/>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2EFF5" w:themeFill="accent4" w:themeFillTint="19"/>
    </w:tcPr>
    <w:tblStylePr w:type="firstRow">
      <w:rPr>
        <w:b/>
        <w:bCs/>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4C3A62" w:themeFill="accent4" w:themeFillShade="99"/>
      </w:tcPr>
    </w:tblStylePr>
    <w:tblStylePr w:type="band1Vert">
      <w:tblPr>
        <w:tblLayout w:type="fixed"/>
      </w:tblPr>
      <w:tcPr>
        <w:shd w:val="clear" w:color="auto" w:fill="CCC0D9" w:themeFill="accent4" w:themeFillTint="66"/>
      </w:tcPr>
    </w:tblStylePr>
    <w:tblStylePr w:type="band1Horz">
      <w:tblPr>
        <w:tblLayout w:type="fixed"/>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5"/>
    <w:basedOn w:val="37"/>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EDF6F9" w:themeFill="accent5" w:themeFillTint="19"/>
    </w:tcPr>
    <w:tblStylePr w:type="firstRow">
      <w:rPr>
        <w:b/>
        <w:bCs/>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76A7C" w:themeFill="accent5" w:themeFillShade="99"/>
      </w:tcPr>
    </w:tblStylePr>
    <w:tblStylePr w:type="band1Vert">
      <w:tblPr>
        <w:tblLayout w:type="fixed"/>
      </w:tblPr>
      <w:tcPr>
        <w:shd w:val="clear" w:color="auto" w:fill="B6DDE8" w:themeFill="accent5" w:themeFillTint="66"/>
      </w:tcPr>
    </w:tblStylePr>
    <w:tblStylePr w:type="band1Horz">
      <w:tblPr>
        <w:tblLayout w:type="fixed"/>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6"/>
    <w:basedOn w:val="37"/>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EF4EC" w:themeFill="accent6" w:themeFillTint="19"/>
    </w:tcPr>
    <w:tblStylePr w:type="firstRow">
      <w:rPr>
        <w:b/>
        <w:bCs/>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B65607" w:themeFill="accent6" w:themeFillShade="99"/>
      </w:tcPr>
    </w:tblStylePr>
    <w:tblStylePr w:type="band1Vert">
      <w:tblPr>
        <w:tblLayout w:type="fixed"/>
      </w:tblPr>
      <w:tcPr>
        <w:shd w:val="clear" w:color="auto" w:fill="FBD4B4" w:themeFill="accent6" w:themeFillTint="66"/>
      </w:tcPr>
    </w:tblStylePr>
    <w:tblStylePr w:type="band1Horz">
      <w:tblPr>
        <w:tblLayout w:type="fixed"/>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List"/>
    <w:basedOn w:val="37"/>
    <w:qFormat/>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BFBFBF" w:themeFill="text1" w:themeFillTint="3F"/>
      </w:tcPr>
    </w:tblStylePr>
    <w:tblStylePr w:type="band1Horz">
      <w:tblPr>
        <w:tblLayout w:type="fixed"/>
      </w:tblPr>
      <w:tcPr>
        <w:shd w:val="clear" w:color="auto" w:fill="CCCCCC" w:themeFill="text1" w:themeFillTint="33"/>
      </w:tcPr>
    </w:tblStylePr>
  </w:style>
  <w:style w:type="table" w:styleId="124">
    <w:name w:val="Colorful List Accent 1"/>
    <w:basedOn w:val="37"/>
    <w:qFormat/>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3DFEE" w:themeFill="accent1" w:themeFillTint="3F"/>
      </w:tcPr>
    </w:tblStylePr>
    <w:tblStylePr w:type="band1Horz">
      <w:tblPr>
        <w:tblLayout w:type="fixed"/>
      </w:tblPr>
      <w:tcPr>
        <w:shd w:val="clear" w:color="auto" w:fill="DBE5F1" w:themeFill="accent1" w:themeFillTint="33"/>
      </w:tcPr>
    </w:tblStylePr>
  </w:style>
  <w:style w:type="table" w:styleId="125">
    <w:name w:val="Colorful List Accent 2"/>
    <w:basedOn w:val="37"/>
    <w:qFormat/>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FD3D3" w:themeFill="accent2" w:themeFillTint="3F"/>
      </w:tcPr>
    </w:tblStylePr>
    <w:tblStylePr w:type="band1Horz">
      <w:tblPr>
        <w:tblLayout w:type="fixed"/>
      </w:tblPr>
      <w:tcPr>
        <w:shd w:val="clear" w:color="auto" w:fill="F2DBDB" w:themeFill="accent2" w:themeFillTint="33"/>
      </w:tcPr>
    </w:tblStylePr>
  </w:style>
  <w:style w:type="table" w:styleId="126">
    <w:name w:val="Colorful List Accent 3"/>
    <w:basedOn w:val="37"/>
    <w:qFormat/>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6EED5" w:themeFill="accent3" w:themeFillTint="3F"/>
      </w:tcPr>
    </w:tblStylePr>
    <w:tblStylePr w:type="band1Horz">
      <w:tblPr>
        <w:tblLayout w:type="fixed"/>
      </w:tblPr>
      <w:tcPr>
        <w:shd w:val="clear" w:color="auto" w:fill="EAF1DD" w:themeFill="accent3" w:themeFillTint="33"/>
      </w:tcPr>
    </w:tblStylePr>
  </w:style>
  <w:style w:type="table" w:styleId="127">
    <w:name w:val="Colorful List Accent 4"/>
    <w:basedOn w:val="37"/>
    <w:qFormat/>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FD8E8" w:themeFill="accent4" w:themeFillTint="3F"/>
      </w:tcPr>
    </w:tblStylePr>
    <w:tblStylePr w:type="band1Horz">
      <w:tblPr>
        <w:tblLayout w:type="fixed"/>
      </w:tblPr>
      <w:tcPr>
        <w:shd w:val="clear" w:color="auto" w:fill="E5DFEC" w:themeFill="accent4" w:themeFillTint="33"/>
      </w:tcPr>
    </w:tblStylePr>
  </w:style>
  <w:style w:type="table" w:styleId="128">
    <w:name w:val="Colorful List Accent 5"/>
    <w:basedOn w:val="37"/>
    <w:qFormat/>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2EAF0" w:themeFill="accent5" w:themeFillTint="3F"/>
      </w:tcPr>
    </w:tblStylePr>
    <w:tblStylePr w:type="band1Horz">
      <w:tblPr>
        <w:tblLayout w:type="fixed"/>
      </w:tblPr>
      <w:tcPr>
        <w:shd w:val="clear" w:color="auto" w:fill="DAEEF3" w:themeFill="accent5" w:themeFillTint="33"/>
      </w:tcPr>
    </w:tblStylePr>
  </w:style>
  <w:style w:type="table" w:styleId="129">
    <w:name w:val="Colorful List Accent 6"/>
    <w:basedOn w:val="37"/>
    <w:qFormat/>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FDE5D1" w:themeFill="accent6" w:themeFillTint="3F"/>
      </w:tcPr>
    </w:tblStylePr>
    <w:tblStylePr w:type="band1Horz">
      <w:tblPr>
        <w:tblLayout w:type="fixed"/>
      </w:tblPr>
      <w:tcPr>
        <w:shd w:val="clear" w:color="auto" w:fill="FDE9D9" w:themeFill="accent6" w:themeFillTint="33"/>
      </w:tcPr>
    </w:tblStylePr>
  </w:style>
  <w:style w:type="table" w:styleId="130">
    <w:name w:val="Colorful Grid"/>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CCCCCC" w:themeFill="text1" w:themeFillTint="33"/>
    </w:tcPr>
    <w:tblStylePr w:type="firstRow">
      <w:rPr>
        <w:b/>
        <w:bCs/>
      </w:rPr>
      <w:tblPr>
        <w:tblLayout w:type="fixed"/>
      </w:tblPr>
      <w:tcPr>
        <w:shd w:val="clear" w:color="auto" w:fill="999999" w:themeFill="text1" w:themeFillTint="66"/>
      </w:tcPr>
    </w:tblStylePr>
    <w:tblStylePr w:type="lastRow">
      <w:rPr>
        <w:b/>
        <w:bCs/>
        <w:color w:val="000000" w:themeColor="text1"/>
        <w14:textFill>
          <w14:solidFill>
            <w14:schemeClr w14:val="tx1"/>
          </w14:solidFill>
        </w14:textFill>
      </w:rPr>
      <w:tblPr>
        <w:tblLayout w:type="fixed"/>
      </w:tblPr>
      <w:tcPr>
        <w:shd w:val="clear" w:color="auto" w:fill="999999" w:themeFill="text1" w:themeFillTint="66"/>
      </w:tcPr>
    </w:tblStylePr>
    <w:tblStylePr w:type="firstCol">
      <w:rPr>
        <w:color w:val="FFFFFF" w:themeColor="background1"/>
        <w14:textFill>
          <w14:solidFill>
            <w14:schemeClr w14:val="bg1"/>
          </w14:solidFill>
        </w14:textFill>
      </w:rPr>
      <w:tblPr>
        <w:tblLayout w:type="fixed"/>
      </w:tblPr>
      <w:tcPr>
        <w:shd w:val="clear" w:color="auto" w:fill="000000" w:themeFill="text1" w:themeFillShade="BF"/>
      </w:tcPr>
    </w:tblStylePr>
    <w:tblStylePr w:type="lastCol">
      <w:rPr>
        <w:color w:val="FFFFFF" w:themeColor="background1"/>
        <w14:textFill>
          <w14:solidFill>
            <w14:schemeClr w14:val="bg1"/>
          </w14:solidFill>
        </w14:textFill>
      </w:rPr>
      <w:tblPr>
        <w:tblLayout w:type="fixed"/>
      </w:tblPr>
      <w:tcPr>
        <w:shd w:val="clear" w:color="auto" w:fill="000000" w:themeFill="text1" w:themeFillShade="BF"/>
      </w:tc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131">
    <w:name w:val="Colorful Grid Accent 1"/>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DBE5F1" w:themeFill="accent1" w:themeFillTint="33"/>
    </w:tcPr>
    <w:tblStylePr w:type="firstRow">
      <w:rPr>
        <w:b/>
        <w:bCs/>
      </w:rPr>
      <w:tblPr>
        <w:tblLayout w:type="fixed"/>
      </w:tblPr>
      <w:tcPr>
        <w:shd w:val="clear" w:color="auto" w:fill="B8CCE4" w:themeFill="accent1" w:themeFillTint="66"/>
      </w:tcPr>
    </w:tblStylePr>
    <w:tblStylePr w:type="lastRow">
      <w:rPr>
        <w:b/>
        <w:bCs/>
        <w:color w:val="000000" w:themeColor="text1"/>
        <w14:textFill>
          <w14:solidFill>
            <w14:schemeClr w14:val="tx1"/>
          </w14:solidFill>
        </w14:textFill>
      </w:rPr>
      <w:tblPr>
        <w:tblLayout w:type="fixed"/>
      </w:tblPr>
      <w:tcPr>
        <w:shd w:val="clear" w:color="auto" w:fill="B8CCE4" w:themeFill="accent1" w:themeFillTint="66"/>
      </w:tcPr>
    </w:tblStylePr>
    <w:tblStylePr w:type="fir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la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132">
    <w:name w:val="Colorful Grid Accent 2"/>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F2DBDB" w:themeFill="accent2" w:themeFillTint="33"/>
    </w:tcPr>
    <w:tblStylePr w:type="firstRow">
      <w:rPr>
        <w:b/>
        <w:bCs/>
      </w:rPr>
      <w:tblPr>
        <w:tblLayout w:type="fixed"/>
      </w:tblPr>
      <w:tcPr>
        <w:shd w:val="clear" w:color="auto" w:fill="E5B8B7" w:themeFill="accent2" w:themeFillTint="66"/>
      </w:tcPr>
    </w:tblStylePr>
    <w:tblStylePr w:type="lastRow">
      <w:rPr>
        <w:b/>
        <w:bCs/>
        <w:color w:val="000000" w:themeColor="text1"/>
        <w14:textFill>
          <w14:solidFill>
            <w14:schemeClr w14:val="tx1"/>
          </w14:solidFill>
        </w14:textFill>
      </w:rPr>
      <w:tblPr>
        <w:tblLayout w:type="fixed"/>
      </w:tblPr>
      <w:tcPr>
        <w:shd w:val="clear" w:color="auto" w:fill="E5B8B7" w:themeFill="accent2" w:themeFillTint="66"/>
      </w:tcPr>
    </w:tblStylePr>
    <w:tblStylePr w:type="fir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la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133">
    <w:name w:val="Colorful Grid Accent 3"/>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EAF1DD" w:themeFill="accent3" w:themeFillTint="33"/>
    </w:tcPr>
    <w:tblStylePr w:type="firstRow">
      <w:rPr>
        <w:b/>
        <w:bCs/>
      </w:rPr>
      <w:tblPr>
        <w:tblLayout w:type="fixed"/>
      </w:tblPr>
      <w:tcPr>
        <w:shd w:val="clear" w:color="auto" w:fill="D6E3BC" w:themeFill="accent3" w:themeFillTint="66"/>
      </w:tcPr>
    </w:tblStylePr>
    <w:tblStylePr w:type="lastRow">
      <w:rPr>
        <w:b/>
        <w:bCs/>
        <w:color w:val="000000" w:themeColor="text1"/>
        <w14:textFill>
          <w14:solidFill>
            <w14:schemeClr w14:val="tx1"/>
          </w14:solidFill>
        </w14:textFill>
      </w:rPr>
      <w:tblPr>
        <w:tblLayout w:type="fixed"/>
      </w:tblPr>
      <w:tcPr>
        <w:shd w:val="clear" w:color="auto" w:fill="D6E3BC" w:themeFill="accent3" w:themeFillTint="66"/>
      </w:tcPr>
    </w:tblStylePr>
    <w:tblStylePr w:type="fir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la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134">
    <w:name w:val="Colorful Grid Accent 4"/>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E5DFEC" w:themeFill="accent4" w:themeFillTint="33"/>
    </w:tcPr>
    <w:tblStylePr w:type="firstRow">
      <w:rPr>
        <w:b/>
        <w:bCs/>
      </w:rPr>
      <w:tblPr>
        <w:tblLayout w:type="fixed"/>
      </w:tblPr>
      <w:tcPr>
        <w:shd w:val="clear" w:color="auto" w:fill="CCC0D9" w:themeFill="accent4" w:themeFillTint="66"/>
      </w:tcPr>
    </w:tblStylePr>
    <w:tblStylePr w:type="lastRow">
      <w:rPr>
        <w:b/>
        <w:bCs/>
        <w:color w:val="000000" w:themeColor="text1"/>
        <w14:textFill>
          <w14:solidFill>
            <w14:schemeClr w14:val="tx1"/>
          </w14:solidFill>
        </w14:textFill>
      </w:rPr>
      <w:tblPr>
        <w:tblLayout w:type="fixed"/>
      </w:tblPr>
      <w:tcPr>
        <w:shd w:val="clear" w:color="auto" w:fill="CCC0D9" w:themeFill="accent4" w:themeFillTint="66"/>
      </w:tcPr>
    </w:tblStylePr>
    <w:tblStylePr w:type="fir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la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135">
    <w:name w:val="Colorful Grid Accent 5"/>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DAEEF3" w:themeFill="accent5" w:themeFillTint="33"/>
    </w:tcPr>
    <w:tblStylePr w:type="firstRow">
      <w:rPr>
        <w:b/>
        <w:bCs/>
      </w:rPr>
      <w:tblPr>
        <w:tblLayout w:type="fixed"/>
      </w:tblPr>
      <w:tcPr>
        <w:shd w:val="clear" w:color="auto" w:fill="B6DDE8" w:themeFill="accent5" w:themeFillTint="66"/>
      </w:tcPr>
    </w:tblStylePr>
    <w:tblStylePr w:type="lastRow">
      <w:rPr>
        <w:b/>
        <w:bCs/>
        <w:color w:val="000000" w:themeColor="text1"/>
        <w14:textFill>
          <w14:solidFill>
            <w14:schemeClr w14:val="tx1"/>
          </w14:solidFill>
        </w14:textFill>
      </w:rPr>
      <w:tblPr>
        <w:tblLayout w:type="fixed"/>
      </w:tblPr>
      <w:tcPr>
        <w:shd w:val="clear" w:color="auto" w:fill="B6DDE8" w:themeFill="accent5" w:themeFillTint="66"/>
      </w:tcPr>
    </w:tblStylePr>
    <w:tblStylePr w:type="fir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la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136">
    <w:name w:val="Colorful Grid Accent 6"/>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FDE9D9" w:themeFill="accent6" w:themeFillTint="33"/>
    </w:tcPr>
    <w:tblStylePr w:type="firstRow">
      <w:rPr>
        <w:b/>
        <w:bCs/>
      </w:rPr>
      <w:tblPr>
        <w:tblLayout w:type="fixed"/>
      </w:tblPr>
      <w:tcPr>
        <w:shd w:val="clear" w:color="auto" w:fill="FBD4B4" w:themeFill="accent6" w:themeFillTint="66"/>
      </w:tcPr>
    </w:tblStylePr>
    <w:tblStylePr w:type="lastRow">
      <w:rPr>
        <w:b/>
        <w:bCs/>
        <w:color w:val="000000" w:themeColor="text1"/>
        <w14:textFill>
          <w14:solidFill>
            <w14:schemeClr w14:val="tx1"/>
          </w14:solidFill>
        </w14:textFill>
      </w:rPr>
      <w:tblPr>
        <w:tblLayout w:type="fixed"/>
      </w:tblPr>
      <w:tcPr>
        <w:shd w:val="clear" w:color="auto" w:fill="FBD4B4" w:themeFill="accent6" w:themeFillTint="66"/>
      </w:tcPr>
    </w:tblStylePr>
    <w:tblStylePr w:type="fir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la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character" w:customStyle="1" w:styleId="137">
    <w:name w:val="Header Char"/>
    <w:basedOn w:val="34"/>
    <w:link w:val="26"/>
    <w:qFormat/>
    <w:uiPriority w:val="99"/>
  </w:style>
  <w:style w:type="character" w:customStyle="1" w:styleId="138">
    <w:name w:val="Footer Char"/>
    <w:basedOn w:val="34"/>
    <w:link w:val="25"/>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34"/>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34"/>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34"/>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34"/>
    <w:link w:val="20"/>
    <w:qFormat/>
    <w:uiPriority w:val="99"/>
  </w:style>
  <w:style w:type="character" w:customStyle="1" w:styleId="147">
    <w:name w:val="Body Text 2 Char"/>
    <w:basedOn w:val="34"/>
    <w:link w:val="29"/>
    <w:qFormat/>
    <w:uiPriority w:val="99"/>
  </w:style>
  <w:style w:type="character" w:customStyle="1" w:styleId="148">
    <w:name w:val="Body Text 3 Char"/>
    <w:basedOn w:val="34"/>
    <w:link w:val="18"/>
    <w:qFormat/>
    <w:uiPriority w:val="99"/>
    <w:rPr>
      <w:sz w:val="16"/>
      <w:szCs w:val="16"/>
    </w:rPr>
  </w:style>
  <w:style w:type="character" w:customStyle="1" w:styleId="149">
    <w:name w:val="Macro Text Char"/>
    <w:basedOn w:val="34"/>
    <w:link w:val="13"/>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34"/>
    <w:link w:val="150"/>
    <w:qFormat/>
    <w:uiPriority w:val="29"/>
    <w:rPr>
      <w:i/>
      <w:iCs/>
      <w:color w:val="000000" w:themeColor="text1"/>
      <w14:textFill>
        <w14:solidFill>
          <w14:schemeClr w14:val="tx1"/>
        </w14:solidFill>
      </w14:textFill>
    </w:rPr>
  </w:style>
  <w:style w:type="character" w:customStyle="1" w:styleId="152">
    <w:name w:val="Heading 4 Char"/>
    <w:basedOn w:val="34"/>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34"/>
    <w:link w:val="6"/>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34"/>
    <w:link w:val="7"/>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34"/>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34"/>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34"/>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34"/>
    <w:link w:val="158"/>
    <w:qFormat/>
    <w:uiPriority w:val="30"/>
    <w:rPr>
      <w:b/>
      <w:bCs/>
      <w:i/>
      <w:iCs/>
      <w:color w:val="4F81BD" w:themeColor="accent1"/>
      <w14:textFill>
        <w14:solidFill>
          <w14:schemeClr w14:val="accent1"/>
        </w14:solidFill>
      </w14:textFill>
    </w:rPr>
  </w:style>
  <w:style w:type="character" w:customStyle="1" w:styleId="160">
    <w:name w:val="Subtle Emphasis"/>
    <w:basedOn w:val="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34"/>
    <w:qFormat/>
    <w:uiPriority w:val="21"/>
    <w:rPr>
      <w:b/>
      <w:bCs/>
      <w:i/>
      <w:iCs/>
      <w:color w:val="4F81BD" w:themeColor="accent1"/>
      <w14:textFill>
        <w14:solidFill>
          <w14:schemeClr w14:val="accent1"/>
        </w14:solidFill>
      </w14:textFill>
    </w:rPr>
  </w:style>
  <w:style w:type="character" w:customStyle="1" w:styleId="162">
    <w:name w:val="Subtle Reference"/>
    <w:basedOn w:val="34"/>
    <w:qFormat/>
    <w:uiPriority w:val="31"/>
    <w:rPr>
      <w:smallCaps/>
      <w:color w:val="C0504D" w:themeColor="accent2"/>
      <w:u w:val="single"/>
      <w14:textFill>
        <w14:solidFill>
          <w14:schemeClr w14:val="accent2"/>
        </w14:solidFill>
      </w14:textFill>
    </w:rPr>
  </w:style>
  <w:style w:type="character" w:customStyle="1" w:styleId="163">
    <w:name w:val="Intense Reference"/>
    <w:basedOn w:val="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34"/>
    <w:qFormat/>
    <w:uiPriority w:val="33"/>
    <w:rPr>
      <w:b/>
      <w:bCs/>
      <w:smallCaps/>
      <w:spacing w:val="5"/>
    </w:rPr>
  </w:style>
  <w:style w:type="paragraph" w:customStyle="1" w:styleId="165">
    <w:name w:val="TOC Heading"/>
    <w:basedOn w:val="2"/>
    <w:next w:val="1"/>
    <w:semiHidden/>
    <w:unhideWhenUsed/>
    <w:qFormat/>
    <w:uiPriority w:val="39"/>
    <w:pPr>
      <w:outlineLvl w:val="9"/>
    </w:pPr>
  </w:style>
  <w:style w:type="paragraph" w:customStyle="1" w:styleId="166">
    <w:name w:val="标准文件_前言、引言标题"/>
    <w:next w:val="1"/>
    <w:qFormat/>
    <w:uiPriority w:val="0"/>
    <w:pPr>
      <w:numPr>
        <w:ilvl w:val="0"/>
        <w:numId w:val="7"/>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167">
    <w:name w:val="前言、引言标题"/>
    <w:next w:val="1"/>
    <w:qFormat/>
    <w:uiPriority w:val="0"/>
    <w:pPr>
      <w:numPr>
        <w:ilvl w:val="0"/>
        <w:numId w:val="8"/>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8">
    <w:name w:val="章标题"/>
    <w:next w:val="169"/>
    <w:qFormat/>
    <w:uiPriority w:val="0"/>
    <w:pPr>
      <w:numPr>
        <w:ilvl w:val="1"/>
        <w:numId w:val="8"/>
      </w:numPr>
      <w:spacing w:beforeLines="50" w:afterLines="50"/>
      <w:jc w:val="both"/>
      <w:outlineLvl w:val="1"/>
    </w:pPr>
    <w:rPr>
      <w:rFonts w:ascii="黑体" w:eastAsia="黑体" w:hAnsiTheme="minorHAnsi" w:cstheme="minorBidi"/>
      <w:kern w:val="2"/>
      <w:sz w:val="21"/>
      <w:szCs w:val="22"/>
      <w:lang w:val="en-US" w:eastAsia="zh-CN" w:bidi="ar-SA"/>
    </w:rPr>
  </w:style>
  <w:style w:type="paragraph" w:customStyle="1" w:styleId="16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9595</Words>
  <Characters>10047</Characters>
  <Lines>0</Lines>
  <Paragraphs>0</Paragraphs>
  <TotalTime>85</TotalTime>
  <ScaleCrop>false</ScaleCrop>
  <LinksUpToDate>false</LinksUpToDate>
  <CharactersWithSpaces>10387</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明</cp:lastModifiedBy>
  <dcterms:modified xsi:type="dcterms:W3CDTF">2026-09-09T08:36:03Z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eyJoZGlkIjoiNzc4OGM5OGQyZmQ0Yzk3ZGIxMDg2MDc4MmRlNzUyM2IiLCJ1c2VySWQiOiIyNTAyOTA5MzIifQ==</vt:lpwstr>
  </property>
  <property fmtid="{D5CDD505-2E9C-101B-9397-08002B2CF9AE}" pid="3" name="KSOProductBuildVer">
    <vt:lpwstr>2052-11.8.2.8053</vt:lpwstr>
  </property>
  <property fmtid="{D5CDD505-2E9C-101B-9397-08002B2CF9AE}" pid="4" name="ICV">
    <vt:lpwstr>E72BCD82C978414197E66DDB7CDFCF90_13</vt:lpwstr>
  </property>
</Properties>
</file>