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0"/>
        <w:jc w:val="center"/>
      </w:pPr>
      <w:r>
        <w:rPr>
          <w:rFonts w:ascii="Times New Roman" w:hAnsi="Times New Roman" w:eastAsia="黑体" w:cs="Times New Roman"/>
          <w:b/>
          <w:sz w:val="36"/>
        </w:rPr>
        <w:t>团体标准编制说明</w:t>
      </w:r>
    </w:p>
    <w:p>
      <w:pPr>
        <w:spacing w:line="360" w:lineRule="auto" w:before="0" w:after="0"/>
        <w:jc w:val="center"/>
      </w:pPr>
      <w:r>
        <w:rPr>
          <w:rFonts w:ascii="Times New Roman" w:hAnsi="Times New Roman" w:eastAsia="黑体" w:cs="Times New Roman"/>
          <w:b/>
          <w:sz w:val="30"/>
        </w:rPr>
        <w:t>《精神专科医院神经内科建设规范》</w:t>
      </w:r>
    </w:p>
    <w:p>
      <w:pPr>
        <w:spacing w:line="360" w:lineRule="auto" w:before="0" w:after="160"/>
        <w:jc w:val="center"/>
      </w:pPr>
      <w:r>
        <w:rPr>
          <w:rFonts w:ascii="Times New Roman" w:hAnsi="Times New Roman" w:eastAsia="宋体" w:cs="Times New Roman"/>
          <w:b w:val="0"/>
          <w:sz w:val="24"/>
        </w:rPr>
        <w:t>(阶段：征求意见稿、送审稿、报批稿)</w:t>
      </w:r>
    </w:p>
    <w:p>
      <w:pPr>
        <w:spacing w:line="360" w:lineRule="auto" w:before="120" w:after="40"/>
        <w:keepNext/>
      </w:pPr>
      <w:r>
        <w:rPr>
          <w:rFonts w:ascii="Times New Roman" w:hAnsi="Times New Roman" w:eastAsia="宋体" w:cs="Times New Roman"/>
          <w:b/>
          <w:sz w:val="24"/>
        </w:rPr>
        <w:t>一、团体标准任务来源、编制背景、目的和意义</w:t>
      </w:r>
    </w:p>
    <w:p>
      <w:pPr>
        <w:spacing w:line="360" w:lineRule="auto" w:before="0" w:after="0"/>
        <w:ind w:firstLine="420"/>
      </w:pPr>
      <w:r>
        <w:rPr>
          <w:rFonts w:ascii="Times New Roman" w:hAnsi="Times New Roman" w:eastAsia="宋体" w:cs="Times New Roman"/>
          <w:b w:val="0"/>
          <w:sz w:val="24"/>
        </w:rPr>
        <w:t>本标准由北京大学第六医院提出，由北京慢性病防治与健康教育研究会归口，起草单位为北京大学第六医院。标准名称为《精神专科医院神经内科建设规范》，拟用于指导各级各类精神专科医疗机构新建或完善神经内科科室的规划、建设和运行管理，并可为综合医院精神科与神经内科协同建设提供参考。</w:t>
      </w:r>
    </w:p>
    <w:p>
      <w:pPr>
        <w:spacing w:line="360" w:lineRule="auto" w:before="0" w:after="0"/>
        <w:ind w:firstLine="420"/>
      </w:pPr>
      <w:r>
        <w:rPr>
          <w:rFonts w:ascii="Times New Roman" w:hAnsi="Times New Roman" w:eastAsia="宋体" w:cs="Times New Roman"/>
          <w:b w:val="0"/>
          <w:sz w:val="24"/>
        </w:rPr>
        <w:t>本标准的编制背景源于精神疾病与神经系统疾病在临床表现、疾病谱及诊疗过程中存在广泛交叉。神经系统疾病可伴发抑郁、焦虑、精神行为异常等症状，精神障碍患者也可能合并脑血管病、癫痫、神经变性病、脑炎等神经系统疾病。现有草案指出，若缺乏神经科与精神科之间的有效协作，相关患者可能出现识别不及时、误诊漏诊、重复就诊和转诊衔接不畅等问题。近年来，国家有关政策和行业规范持续强调精神专科医疗机构综合服务能力建设以及精神与神经学科协作，为本标准制定提供了现实基础。</w:t>
      </w:r>
    </w:p>
    <w:p>
      <w:pPr>
        <w:spacing w:line="360" w:lineRule="auto" w:before="0" w:after="0"/>
        <w:ind w:firstLine="420"/>
      </w:pPr>
      <w:r>
        <w:rPr>
          <w:rFonts w:ascii="Times New Roman" w:hAnsi="Times New Roman" w:eastAsia="宋体" w:cs="Times New Roman"/>
          <w:b w:val="0"/>
          <w:sz w:val="24"/>
        </w:rPr>
        <w:t>本标准旨在明确精神专科医院神经内科建设与运行的基本要求，规范组织架构、人员配置、诊疗模式、工作流程、设施设备、信息与数据管理、院内外协作、安全管理和质量控制等关键环节，推动精神专科医院形成较为完整的神经系统疾病诊疗能力和神经精神联合诊疗机制，提高神经精神交叉疾病的识别、诊断、治疗和连续管理水平。</w:t>
      </w:r>
    </w:p>
    <w:p>
      <w:pPr>
        <w:spacing w:line="360" w:lineRule="auto" w:before="120" w:after="40"/>
        <w:keepNext/>
      </w:pPr>
      <w:r>
        <w:rPr>
          <w:rFonts w:ascii="Times New Roman" w:hAnsi="Times New Roman" w:eastAsia="宋体" w:cs="Times New Roman"/>
          <w:b/>
          <w:sz w:val="24"/>
        </w:rPr>
        <w:t>二、工作简况，包括基本信息、任务来源、主要工作过程、主要起草人及其分工等。</w:t>
      </w:r>
    </w:p>
    <w:p>
      <w:pPr>
        <w:spacing w:line="360" w:lineRule="auto" w:before="0" w:after="0"/>
        <w:ind w:firstLine="420"/>
      </w:pPr>
      <w:r>
        <w:rPr>
          <w:rFonts w:ascii="Times New Roman" w:hAnsi="Times New Roman" w:eastAsia="宋体" w:cs="Times New Roman"/>
          <w:b w:val="0"/>
          <w:sz w:val="24"/>
        </w:rPr>
        <w:t>本标准为团体标准制定项目，由北京大学第六医院提出并承担起草工作，北京慢性病防治与健康教育研究会负责归口管理。现有标准草案已形成较完整的框架，包括前言、引言、范围、规范性引用文件、术语和定义，以及组织与管理、诊疗管理、设施与设备、信息与数据管理、协作机制、安全与质量控制等技术章节。</w:t>
      </w:r>
    </w:p>
    <w:p>
      <w:pPr>
        <w:spacing w:line="360" w:lineRule="auto" w:before="0" w:after="0"/>
        <w:ind w:firstLine="420"/>
      </w:pPr>
      <w:r>
        <w:rPr>
          <w:rFonts w:ascii="Times New Roman" w:hAnsi="Times New Roman" w:eastAsia="宋体" w:cs="Times New Roman"/>
          <w:b w:val="0"/>
          <w:sz w:val="24"/>
        </w:rPr>
        <w:t>根据现有草案所反映的编制情况，起草工作围绕精神专科医院神经内科建设的实际需求，对相关法律法规、医院建设标准、医疗质量管理要求、电子病历与信息化规范、精神神经交叉疾病相关指南和专家共识进行梳理，并结合精神专科医院神经内科运行场景对条款进行组织和完善。现阶段草案中已出现针对术语定义、说明性文字与规范性条款边界等内容的修改意见，表明标准仍处于持续讨论和完善过程中。</w:t>
      </w:r>
    </w:p>
    <w:p>
      <w:pPr>
        <w:spacing w:line="360" w:lineRule="auto" w:before="0" w:after="0"/>
        <w:ind w:firstLine="420"/>
      </w:pPr>
      <w:r>
        <w:rPr>
          <w:rFonts w:ascii="Times New Roman" w:hAnsi="Times New Roman" w:eastAsia="宋体" w:cs="Times New Roman"/>
          <w:b w:val="0"/>
          <w:sz w:val="24"/>
        </w:rPr>
        <w:t>本文件主要起草人为袁俊亮、白超博、陈宝玉。现有标准草案未进一步载明三位起草人的具体分工，因此本编制说明不对个人分工作超出原文件的信息补充；正式报批前可由起草组根据实际工作情况补充明确。</w:t>
      </w:r>
    </w:p>
    <w:p>
      <w:pPr>
        <w:spacing w:line="360" w:lineRule="auto" w:before="120" w:after="40"/>
        <w:keepNext/>
      </w:pPr>
      <w:r>
        <w:rPr>
          <w:rFonts w:ascii="Times New Roman" w:hAnsi="Times New Roman" w:eastAsia="宋体" w:cs="Times New Roman"/>
          <w:b/>
          <w:sz w:val="24"/>
        </w:rPr>
        <w:t>三、标准编制原则。</w:t>
      </w:r>
    </w:p>
    <w:p>
      <w:pPr>
        <w:spacing w:line="360" w:lineRule="auto" w:before="0" w:after="0"/>
        <w:ind w:firstLine="420"/>
      </w:pPr>
      <w:r>
        <w:rPr>
          <w:rFonts w:ascii="Times New Roman" w:hAnsi="Times New Roman" w:eastAsia="宋体" w:cs="Times New Roman"/>
          <w:b w:val="0"/>
          <w:sz w:val="24"/>
        </w:rPr>
        <w:t>本标准编制遵循合法合规、科学规范、临床适用、协调一致和可操作的原则。标准内容以现行精神卫生相关法律法规、医院建设与医疗质量管理要求为基础，不改变现有法律法规和强制性要求。</w:t>
      </w:r>
    </w:p>
    <w:p>
      <w:pPr>
        <w:spacing w:line="360" w:lineRule="auto" w:before="0" w:after="0"/>
        <w:ind w:firstLine="420"/>
      </w:pPr>
      <w:r>
        <w:rPr>
          <w:rFonts w:ascii="Times New Roman" w:hAnsi="Times New Roman" w:eastAsia="宋体" w:cs="Times New Roman"/>
          <w:b w:val="0"/>
          <w:sz w:val="24"/>
        </w:rPr>
        <w:t>在技术内容设计上，突出精神专科医院的特殊场景，既满足神经内科常规诊疗、急救、检查和康复需求，也充分考虑精神症状患者在病房安全、用药、隐私保护、行为风险及连续照护方面的管理特点。对于神经精神交叉疾病，强调神经内科与精神科的联合评估、联合会诊、联合查房和多学科讨论。</w:t>
      </w:r>
    </w:p>
    <w:p>
      <w:pPr>
        <w:spacing w:line="360" w:lineRule="auto" w:before="0" w:after="0"/>
        <w:ind w:firstLine="420"/>
      </w:pPr>
      <w:r>
        <w:rPr>
          <w:rFonts w:ascii="Times New Roman" w:hAnsi="Times New Roman" w:eastAsia="宋体" w:cs="Times New Roman"/>
          <w:b w:val="0"/>
          <w:sz w:val="24"/>
        </w:rPr>
        <w:t>在可实施性方面，标准采用基本要求与条件性配置相结合的方式。对科室设置、人员资质、核心诊疗流程、患者安全和质量管理提出原则性要求；对联合病房、专病中心、部分专项设备、远程医疗和智能诊疗工具等内容，则结合医疗机构规模、业务需求和现有资源提出适宜性建议，以提高不同层级精神专科医疗机构的适用性。</w:t>
      </w:r>
    </w:p>
    <w:p>
      <w:pPr>
        <w:spacing w:line="360" w:lineRule="auto" w:before="120" w:after="40"/>
        <w:keepNext/>
      </w:pPr>
      <w:r>
        <w:rPr>
          <w:rFonts w:ascii="Times New Roman" w:hAnsi="Times New Roman" w:eastAsia="宋体" w:cs="Times New Roman"/>
          <w:b/>
          <w:sz w:val="24"/>
        </w:rPr>
        <w:t>四、标准主要条文或技术内容的依据；专利情况说明；修订标准应说明新旧标准水平的对比情况。</w:t>
      </w:r>
    </w:p>
    <w:p>
      <w:pPr>
        <w:spacing w:line="360" w:lineRule="auto" w:before="0" w:after="0"/>
        <w:ind w:firstLine="420"/>
      </w:pPr>
      <w:r>
        <w:rPr>
          <w:rFonts w:ascii="Times New Roman" w:hAnsi="Times New Roman" w:eastAsia="宋体" w:cs="Times New Roman"/>
          <w:b w:val="0"/>
          <w:sz w:val="24"/>
        </w:rPr>
        <w:t>本标准的主要技术内容围绕精神专科医院神经内科的建设和运行全流程设置。组织与管理部分规定科室组织架构、人员配置和管理制度，要求神经内科纳入医院医疗业务管理体系，建立合理的医师、护理及辅助技术人员梯队，并形成门诊、会诊、住院、转科、危急重症处置、跨学科协同和质量管理制度。</w:t>
      </w:r>
    </w:p>
    <w:p>
      <w:pPr>
        <w:spacing w:line="360" w:lineRule="auto" w:before="0" w:after="0"/>
        <w:ind w:firstLine="420"/>
      </w:pPr>
      <w:r>
        <w:rPr>
          <w:rFonts w:ascii="Times New Roman" w:hAnsi="Times New Roman" w:eastAsia="宋体" w:cs="Times New Roman"/>
          <w:b w:val="0"/>
          <w:sz w:val="24"/>
        </w:rPr>
        <w:t>诊疗管理部分以神经精神联合诊疗为核心，规定联合门诊或会诊、联合病房、多学科病例讨论、个体化综合治疗，以及门诊、会诊、住院、临床路径和鉴别诊断流程；治疗方面强调循证药物治疗、心理治疗、康复治疗、必要的中西医结合以及慢性疾病个案管理。</w:t>
      </w:r>
    </w:p>
    <w:p>
      <w:pPr>
        <w:spacing w:line="360" w:lineRule="auto" w:before="0" w:after="0"/>
        <w:ind w:firstLine="420"/>
      </w:pPr>
      <w:r>
        <w:rPr>
          <w:rFonts w:ascii="Times New Roman" w:hAnsi="Times New Roman" w:eastAsia="宋体" w:cs="Times New Roman"/>
          <w:b w:val="0"/>
          <w:sz w:val="24"/>
        </w:rPr>
        <w:t>设施与设备部分兼顾神经科诊疗能力和精神科安全管理要求，对病房、诊室、检查区和康复功能区提出布局要求，并对影像检查可及性、脑电图、肌电图及诱发电位、经颅多普勒、神经调控和康复设备、信息化终端及急救设备等作出配置建议。</w:t>
      </w:r>
    </w:p>
    <w:p>
      <w:pPr>
        <w:spacing w:line="360" w:lineRule="auto" w:before="0" w:after="0"/>
        <w:ind w:firstLine="420"/>
      </w:pPr>
      <w:r>
        <w:rPr>
          <w:rFonts w:ascii="Times New Roman" w:hAnsi="Times New Roman" w:eastAsia="宋体" w:cs="Times New Roman"/>
          <w:b w:val="0"/>
          <w:sz w:val="24"/>
        </w:rPr>
        <w:t>信息与数据管理部分要求实现精神科与神经内科信息共享，推动电子病历、HIS、LIS、PACS等系统整合，完善长期随访患者数据管理、访问权限、日志监控、临床数据规范记录、科研数据利用、远程医疗、辅助决策和信息安全管理。协作机制部分分别规定院内综合诊疗团队、交叉培训、联合查房、双向转诊，以及与综合医院、医联体、社区卫生服务中心和康复机构之间的协作。安全与质量控制部分要求建立科室质量管理小组和质量指标体系，并重点防范自杀冲动、癫痫发作、联合用药、急危重症和院内感染等风险，形成不良事件报告、持续改进和监管评价机制。</w:t>
      </w:r>
    </w:p>
    <w:p>
      <w:pPr>
        <w:spacing w:line="360" w:lineRule="auto" w:before="0" w:after="0"/>
        <w:ind w:firstLine="420"/>
      </w:pPr>
      <w:r>
        <w:rPr>
          <w:rFonts w:ascii="Times New Roman" w:hAnsi="Times New Roman" w:eastAsia="宋体" w:cs="Times New Roman"/>
          <w:b w:val="0"/>
          <w:sz w:val="24"/>
        </w:rPr>
        <w:t>上述条款主要依据GB/T 1.1—2020《标准化工作导则 第1部分：标准化文件的结构和起草规则》、《中华人民共和国精神卫生法》、《国家精神医学中心设置标准》、《精神专科医院建设标准》以及现有草案列出的医院评审、电子病历、记忆障碍门诊、卒中后精神障碍等相关政策、标准、指南和专家共识。</w:t>
      </w:r>
    </w:p>
    <w:p>
      <w:pPr>
        <w:spacing w:line="360" w:lineRule="auto" w:before="0" w:after="0"/>
        <w:ind w:firstLine="420"/>
      </w:pPr>
      <w:r>
        <w:rPr>
          <w:rFonts w:ascii="Times New Roman" w:hAnsi="Times New Roman" w:eastAsia="宋体" w:cs="Times New Roman"/>
          <w:b w:val="0"/>
          <w:sz w:val="24"/>
        </w:rPr>
        <w:t>关于专利，现有草案仅按照标准化文件的一般要求提示“本文件的某些内容可能涉及专利，本文件的发布机构不承担识别专利的责任”，未列明本标准涉及的具体专利项目或专利权人。因此，本编制说明不另行认定具体专利。</w:t>
      </w:r>
    </w:p>
    <w:p>
      <w:pPr>
        <w:spacing w:line="360" w:lineRule="auto" w:before="0" w:after="0"/>
        <w:ind w:firstLine="420"/>
      </w:pPr>
      <w:r>
        <w:rPr>
          <w:rFonts w:ascii="Times New Roman" w:hAnsi="Times New Roman" w:eastAsia="宋体" w:cs="Times New Roman"/>
          <w:b w:val="0"/>
          <w:sz w:val="24"/>
        </w:rPr>
        <w:t>本标准为新制定团体标准，现有草案未显示其为既有团体标准的修订版本，因此不存在新旧标准水平对比问题。</w:t>
      </w:r>
    </w:p>
    <w:p>
      <w:pPr>
        <w:spacing w:line="360" w:lineRule="auto" w:before="120" w:after="40"/>
        <w:keepNext/>
      </w:pPr>
      <w:r>
        <w:rPr>
          <w:rFonts w:ascii="Times New Roman" w:hAnsi="Times New Roman" w:eastAsia="宋体" w:cs="Times New Roman"/>
          <w:b/>
          <w:sz w:val="24"/>
        </w:rPr>
        <w:t>五、主要试验、验证及试行结果。</w:t>
      </w:r>
    </w:p>
    <w:p>
      <w:pPr>
        <w:spacing w:line="360" w:lineRule="auto" w:before="0" w:after="0"/>
        <w:ind w:firstLine="420"/>
      </w:pPr>
      <w:r>
        <w:rPr>
          <w:rFonts w:ascii="Times New Roman" w:hAnsi="Times New Roman" w:eastAsia="宋体" w:cs="Times New Roman"/>
          <w:b w:val="0"/>
          <w:sz w:val="24"/>
        </w:rPr>
        <w:t>本标准属于医疗机构科室建设与运行管理类标准，主要内容为组织管理、诊疗流程、设施设备、信息管理、协作机制以及安全和质量控制要求，不属于以产品性能参数、检测方法或工程试验为核心的技术标准，因此现阶段未设置专门的实验室试验项目。</w:t>
      </w:r>
    </w:p>
    <w:p>
      <w:pPr>
        <w:spacing w:line="360" w:lineRule="auto" w:before="0" w:after="0"/>
        <w:ind w:firstLine="420"/>
      </w:pPr>
      <w:r>
        <w:rPr>
          <w:rFonts w:ascii="Times New Roman" w:hAnsi="Times New Roman" w:eastAsia="宋体" w:cs="Times New Roman"/>
          <w:b w:val="0"/>
          <w:sz w:val="24"/>
        </w:rPr>
        <w:t>现有标准草案未提供专项试行、现场验证或量化验证结果。本编制说明据此不虚构试行数据。建议在征求意见和后续审查阶段，结合不同层级精神专科医院的实际运行条件，对人员配置、会诊转诊流程、设备可及性、联合诊疗机制和质量指标的可实施性进行进一步验证和完善。</w:t>
      </w:r>
    </w:p>
    <w:p>
      <w:pPr>
        <w:spacing w:line="360" w:lineRule="auto" w:before="120" w:after="40"/>
        <w:keepNext/>
      </w:pPr>
      <w:r>
        <w:rPr>
          <w:rFonts w:ascii="Times New Roman" w:hAnsi="Times New Roman" w:eastAsia="宋体" w:cs="Times New Roman"/>
          <w:b/>
          <w:sz w:val="24"/>
        </w:rPr>
        <w:t>六、采用国际标准或国外先进标准的情况。</w:t>
      </w:r>
    </w:p>
    <w:p>
      <w:pPr>
        <w:spacing w:line="360" w:lineRule="auto" w:before="0" w:after="0"/>
        <w:ind w:firstLine="420"/>
      </w:pPr>
      <w:r>
        <w:rPr>
          <w:rFonts w:ascii="Times New Roman" w:hAnsi="Times New Roman" w:eastAsia="宋体" w:cs="Times New Roman"/>
          <w:b w:val="0"/>
          <w:sz w:val="24"/>
        </w:rPr>
        <w:t>现有标准草案未显示等同采用、修改采用或非等效采用某一项国际标准或国外先进标准，本标准主要依据我国现行法律法规、医疗机构建设标准、医疗质量管理要求及国内相关指南和专家共识制定。</w:t>
      </w:r>
    </w:p>
    <w:p>
      <w:pPr>
        <w:spacing w:line="360" w:lineRule="auto" w:before="0" w:after="0"/>
        <w:ind w:firstLine="420"/>
      </w:pPr>
      <w:r>
        <w:rPr>
          <w:rFonts w:ascii="Times New Roman" w:hAnsi="Times New Roman" w:eastAsia="宋体" w:cs="Times New Roman"/>
          <w:b w:val="0"/>
          <w:sz w:val="24"/>
        </w:rPr>
        <w:t>草案引言和参考文献中引用了卒中后抑郁、帕金森病抑郁、癫痫相关抑郁焦虑、脑外伤后抑郁以及联合治疗等国外研究证据，用于说明神经精神交叉疾病的临床负担和综合诊疗必要性，但这些文献属于科学依据，不构成对国外标准的直接采用。</w:t>
      </w:r>
    </w:p>
    <w:p>
      <w:pPr>
        <w:spacing w:line="360" w:lineRule="auto" w:before="120" w:after="40"/>
        <w:keepNext/>
      </w:pPr>
      <w:r>
        <w:rPr>
          <w:rFonts w:ascii="Times New Roman" w:hAnsi="Times New Roman" w:eastAsia="宋体" w:cs="Times New Roman"/>
          <w:b/>
          <w:sz w:val="24"/>
        </w:rPr>
        <w:t>七、与现行法律法规、强制性标准和其他有关标准的关系（推荐性国家标准、推荐性行业标准、团体标准、国际标准和国外先进标准等）。</w:t>
      </w:r>
    </w:p>
    <w:p>
      <w:pPr>
        <w:spacing w:line="360" w:lineRule="auto" w:before="0" w:after="0"/>
        <w:ind w:firstLine="420"/>
      </w:pPr>
      <w:r>
        <w:rPr>
          <w:rFonts w:ascii="Times New Roman" w:hAnsi="Times New Roman" w:eastAsia="宋体" w:cs="Times New Roman"/>
          <w:b w:val="0"/>
          <w:sz w:val="24"/>
        </w:rPr>
        <w:t>本标准与《中华人民共和国精神卫生法》以及精神专科医院建设、国家精神医学中心设置、三级医院评审和公立医院医疗质量管理等现行制度要求相衔接，重点对精神专科医院设置和运行神经内科这一具体场景进行细化，不替代现行法律法规、行政规章及强制性要求。</w:t>
      </w:r>
    </w:p>
    <w:p>
      <w:pPr>
        <w:spacing w:line="360" w:lineRule="auto" w:before="0" w:after="0"/>
        <w:ind w:firstLine="420"/>
      </w:pPr>
      <w:r>
        <w:rPr>
          <w:rFonts w:ascii="Times New Roman" w:hAnsi="Times New Roman" w:eastAsia="宋体" w:cs="Times New Roman"/>
          <w:b w:val="0"/>
          <w:sz w:val="24"/>
        </w:rPr>
        <w:t>本标准与现有神经内科、精神科诊疗指南及医院信息化管理规范之间为补充和协调关系。对于具体疾病的诊断和治疗，仍应执行相应国家指南、行业规范和临床诊疗规范；本标准主要规范科室建设、协同机制和运行管理。涉及人员编制、床护比、设备配置、医院感染、急救、药事管理、医疗质量与信息安全等事项时，应同时符合国家和行业现行有效要求。</w:t>
      </w:r>
    </w:p>
    <w:p>
      <w:pPr>
        <w:spacing w:line="360" w:lineRule="auto" w:before="120" w:after="40"/>
        <w:keepNext/>
      </w:pPr>
      <w:r>
        <w:rPr>
          <w:rFonts w:ascii="Times New Roman" w:hAnsi="Times New Roman" w:eastAsia="宋体" w:cs="Times New Roman"/>
          <w:b/>
          <w:sz w:val="24"/>
        </w:rPr>
        <w:t>八、重大分歧或重难点的处理经过和依据。</w:t>
      </w:r>
    </w:p>
    <w:p>
      <w:pPr>
        <w:spacing w:line="360" w:lineRule="auto" w:before="0" w:after="0"/>
        <w:ind w:firstLine="420"/>
      </w:pPr>
      <w:r>
        <w:rPr>
          <w:rFonts w:ascii="Times New Roman" w:hAnsi="Times New Roman" w:eastAsia="宋体" w:cs="Times New Roman"/>
          <w:b w:val="0"/>
          <w:sz w:val="24"/>
        </w:rPr>
        <w:t>现有标准草案未记录需要表决或仲裁处理的重大分歧。编制中的主要难点集中在精神科与神经内科职责边界、规范性条款与说明性文字的区分、不同层级精神专科医院资源差异，以及神经科常规医疗安全要求与精神科特殊安全管理要求的统一。</w:t>
      </w:r>
    </w:p>
    <w:p>
      <w:pPr>
        <w:spacing w:line="360" w:lineRule="auto" w:before="0" w:after="0"/>
        <w:ind w:firstLine="420"/>
      </w:pPr>
      <w:r>
        <w:rPr>
          <w:rFonts w:ascii="Times New Roman" w:hAnsi="Times New Roman" w:eastAsia="宋体" w:cs="Times New Roman"/>
          <w:b w:val="0"/>
          <w:sz w:val="24"/>
        </w:rPr>
        <w:t>现有草案已对部分术语定义中的说明性内容、信息安全条款中过度概括的表述等提出修改意见。后续处理宜继续依据GB/T 1.1—2020关于术语、定义、注和规范性条款的编写要求，减少非定义性、解释性或难以验证的表述；同时对“应、宜、可”等用语进行一致性审查，确保强制程度与实际可执行性相匹配。</w:t>
      </w:r>
    </w:p>
    <w:p>
      <w:pPr>
        <w:spacing w:line="360" w:lineRule="auto" w:before="120" w:after="40"/>
        <w:keepNext/>
      </w:pPr>
      <w:r>
        <w:rPr>
          <w:rFonts w:ascii="Times New Roman" w:hAnsi="Times New Roman" w:eastAsia="宋体" w:cs="Times New Roman"/>
          <w:b/>
          <w:sz w:val="24"/>
        </w:rPr>
        <w:t>九、作为强制性标准或推荐性标准的建议。</w:t>
      </w:r>
    </w:p>
    <w:p>
      <w:pPr>
        <w:spacing w:line="360" w:lineRule="auto" w:before="0" w:after="0"/>
        <w:ind w:firstLine="420"/>
      </w:pPr>
      <w:r>
        <w:rPr>
          <w:rFonts w:ascii="Times New Roman" w:hAnsi="Times New Roman" w:eastAsia="宋体" w:cs="Times New Roman"/>
          <w:b w:val="0"/>
          <w:sz w:val="24"/>
        </w:rPr>
        <w:t>建议将本标准作为推荐性团体标准发布实施。该标准面向不同层级、不同资源条件的精神专科医疗机构，核心目标是提供科室建设和运行管理的规范化参考。除法律法规及国家强制性要求已明确规定的内容外，不宜将本团体标准整体设定为强制性要求。医疗机构可结合自身功能定位、服务能力和区域医疗资源，在满足相关法律法规和行业管理要求的前提下参照实施。</w:t>
      </w:r>
    </w:p>
    <w:p>
      <w:pPr>
        <w:spacing w:line="360" w:lineRule="auto" w:before="120" w:after="40"/>
        <w:keepNext/>
      </w:pPr>
      <w:r>
        <w:rPr>
          <w:rFonts w:ascii="Times New Roman" w:hAnsi="Times New Roman" w:eastAsia="宋体" w:cs="Times New Roman"/>
          <w:b/>
          <w:sz w:val="24"/>
        </w:rPr>
        <w:t>十、贯彻该标准的要求、措施建议及预期效果。</w:t>
      </w:r>
    </w:p>
    <w:p>
      <w:pPr>
        <w:spacing w:line="360" w:lineRule="auto" w:before="0" w:after="0"/>
        <w:ind w:firstLine="420"/>
      </w:pPr>
      <w:r>
        <w:rPr>
          <w:rFonts w:ascii="Times New Roman" w:hAnsi="Times New Roman" w:eastAsia="宋体" w:cs="Times New Roman"/>
          <w:b w:val="0"/>
          <w:sz w:val="24"/>
        </w:rPr>
        <w:t>标准发布后，建议由归口单位和起草单位组织面向精神专科医院管理人员、神经内科和精神科医师、护理人员及相关技术人员的宣贯培训，重点解释科室定位、人员资质、联合诊疗流程、患者安全、信息共享和质量控制要求。医疗机构可依据标准对现有神经内科建设情况开展自评，逐步完善门诊、病房、辅助检查、会诊转诊、急救和康复功能。</w:t>
      </w:r>
    </w:p>
    <w:p>
      <w:pPr>
        <w:spacing w:line="360" w:lineRule="auto" w:before="0" w:after="0"/>
        <w:ind w:firstLine="420"/>
      </w:pPr>
      <w:r>
        <w:rPr>
          <w:rFonts w:ascii="Times New Roman" w:hAnsi="Times New Roman" w:eastAsia="宋体" w:cs="Times New Roman"/>
          <w:b w:val="0"/>
          <w:sz w:val="24"/>
        </w:rPr>
        <w:t>在实施过程中，建议同步建立院内神经精神联合会诊和MDT机制，完善双向转诊和绿色通道，制定常见神经精神交叉疾病的诊疗流程及应急预案；结合医院信息系统完善电子会诊、检查结果共享、长期随访和质量指标统计功能。对尚不具备高端影像、专项检查或复杂救治能力的精神专科医院，可通过医联体、协作医院和远程医疗方式补充服务能力。</w:t>
      </w:r>
    </w:p>
    <w:p>
      <w:pPr>
        <w:spacing w:line="360" w:lineRule="auto" w:before="0" w:after="0"/>
        <w:ind w:firstLine="420"/>
      </w:pPr>
      <w:r>
        <w:rPr>
          <w:rFonts w:ascii="Times New Roman" w:hAnsi="Times New Roman" w:eastAsia="宋体" w:cs="Times New Roman"/>
          <w:b w:val="0"/>
          <w:sz w:val="24"/>
        </w:rPr>
        <w:t>预期通过本标准实施，可促进精神专科医院神经内科建设的规范化和同质化，增强对认知障碍、帕金森病、脑血管病、癫痫、脑炎及其他伴精神行为症状神经系统疾病的综合诊疗能力，改善神经科与精神科之间的会诊和转诊衔接，降低因学科分割造成的识别延误和重复就诊风险，并提升患者安全、医疗质量和连续管理水平。</w:t>
      </w:r>
    </w:p>
    <w:p>
      <w:pPr>
        <w:spacing w:line="360" w:lineRule="auto" w:before="120" w:after="40"/>
        <w:keepNext/>
      </w:pPr>
      <w:r>
        <w:rPr>
          <w:rFonts w:ascii="Times New Roman" w:hAnsi="Times New Roman" w:eastAsia="宋体" w:cs="Times New Roman"/>
          <w:b/>
          <w:sz w:val="24"/>
        </w:rPr>
        <w:t>十一、废止或代替现行相关标准的建议。</w:t>
      </w:r>
    </w:p>
    <w:p>
      <w:pPr>
        <w:spacing w:line="360" w:lineRule="auto" w:before="0" w:after="0"/>
        <w:ind w:firstLine="420"/>
      </w:pPr>
      <w:r>
        <w:rPr>
          <w:rFonts w:ascii="Times New Roman" w:hAnsi="Times New Roman" w:eastAsia="宋体" w:cs="Times New Roman"/>
          <w:b w:val="0"/>
          <w:sz w:val="24"/>
        </w:rPr>
        <w:t>本标准为新制定团体标准，现有草案未显示存在拟由本标准废止或代替的同编号、同名称现行标准，因此暂无废止或代替其他现行标准的建议。对于已经发布的法律法规、国家标准、行业标准、医院建设标准和临床诊疗规范，本标准不作替代。后续如相关上位标准或同领域国家、行业标准更新，应及时开展适用性复审并进行必要修订。</w:t>
      </w:r>
    </w:p>
    <w:p>
      <w:pPr>
        <w:spacing w:line="360" w:lineRule="auto" w:before="120" w:after="40"/>
        <w:keepNext/>
      </w:pPr>
      <w:r>
        <w:rPr>
          <w:rFonts w:ascii="Times New Roman" w:hAnsi="Times New Roman" w:eastAsia="宋体" w:cs="Times New Roman"/>
          <w:b/>
          <w:sz w:val="24"/>
        </w:rPr>
        <w:t>十二、其他应予说明的事项。</w:t>
      </w:r>
    </w:p>
    <w:p>
      <w:pPr>
        <w:spacing w:line="360" w:lineRule="auto" w:before="0" w:after="0"/>
        <w:ind w:firstLine="420"/>
      </w:pPr>
      <w:r>
        <w:rPr>
          <w:rFonts w:ascii="Times New Roman" w:hAnsi="Times New Roman" w:eastAsia="宋体" w:cs="Times New Roman"/>
          <w:b w:val="0"/>
          <w:sz w:val="24"/>
        </w:rPr>
        <w:t>现有草案中部分内容仍处于修改完善阶段。正式征求意见、送审和报批前，建议进一步核对规范性引用文件和参考文献的名称、发布部门、年份、版本有效性及正文引用对应关系，并统一条款编号、标点、术语中英文表达以及“应、宜、可”等规范用语。</w:t>
      </w:r>
    </w:p>
    <w:p>
      <w:pPr>
        <w:spacing w:line="360" w:lineRule="auto" w:before="0" w:after="0"/>
        <w:ind w:firstLine="420"/>
      </w:pPr>
      <w:r>
        <w:rPr>
          <w:rFonts w:ascii="Times New Roman" w:hAnsi="Times New Roman" w:eastAsia="宋体" w:cs="Times New Roman"/>
          <w:b w:val="0"/>
          <w:sz w:val="24"/>
        </w:rPr>
        <w:t>对于标准正文中尚存在的重复表述，应在不改变技术要求的前提下进行归并；对于术语定义后的说明性内容、举例性内容和不能作为定义本身的信息，应按照GB/T 1.1—2020的编写要求进一步调整。除上述事项外，现有资料未显示其他需要专门说明的内容。</w:t>
      </w:r>
    </w:p>
    <w:sectPr w:rsidR="00FC693F" w:rsidRPr="0006063C" w:rsidSect="00034616">
      <w:pgSz w:w="12240" w:h="15840"/>
      <w:pgMar w:top="1440" w:right="1797" w:bottom="1440" w:left="1797"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0"/>
    </w:pPr>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