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hint="eastAsia" w:ascii="仿宋" w:hAnsi="宋体" w:eastAsia="仿宋"/>
          <w:sz w:val="28"/>
          <w:szCs w:val="28"/>
        </w:rPr>
      </w:pPr>
      <w:r>
        <w:rPr>
          <w:rFonts w:hint="eastAsia" w:ascii="仿宋" w:hAnsi="宋体" w:eastAsia="仿宋"/>
          <w:sz w:val="28"/>
          <w:szCs w:val="28"/>
        </w:rPr>
        <w:t>I</w:t>
      </w:r>
      <w:r>
        <w:rPr>
          <w:rFonts w:ascii="仿宋" w:hAnsi="宋体" w:eastAsia="仿宋"/>
          <w:sz w:val="28"/>
          <w:szCs w:val="28"/>
        </w:rPr>
        <w:t>CS</w:t>
      </w:r>
      <w:r>
        <w:rPr>
          <w:rFonts w:hint="eastAsia" w:ascii="仿宋" w:hAnsi="宋体" w:eastAsia="仿宋"/>
          <w:sz w:val="28"/>
          <w:szCs w:val="28"/>
        </w:rPr>
        <w:t>号</w:t>
      </w:r>
    </w:p>
    <w:p>
      <w:pPr>
        <w:spacing w:line="400" w:lineRule="exact"/>
        <w:jc w:val="left"/>
        <w:rPr>
          <w:rFonts w:hint="eastAsia" w:ascii="仿宋" w:hAnsi="宋体" w:eastAsia="仿宋"/>
          <w:sz w:val="28"/>
          <w:szCs w:val="28"/>
        </w:rPr>
      </w:pPr>
      <w:r>
        <w:rPr>
          <w:rFonts w:hint="eastAsia" w:ascii="仿宋" w:hAnsi="宋体" w:eastAsia="仿宋"/>
          <w:sz w:val="28"/>
          <w:szCs w:val="28"/>
        </w:rPr>
        <w:t>中国标准文献分类号</w:t>
      </w:r>
    </w:p>
    <w:p>
      <w:pPr>
        <w:spacing w:line="400" w:lineRule="exact"/>
        <w:jc w:val="left"/>
        <w:rPr>
          <w:rFonts w:hint="eastAsia" w:ascii="仿宋" w:hAnsi="宋体" w:eastAsia="仿宋"/>
          <w:sz w:val="28"/>
          <w:szCs w:val="28"/>
        </w:rPr>
      </w:pPr>
    </w:p>
    <w:p>
      <w:pPr>
        <w:spacing w:before="312" w:beforeLines="100" w:after="312" w:afterLines="100"/>
        <w:jc w:val="center"/>
        <w:rPr>
          <w:rFonts w:hint="eastAsia" w:ascii="宋体" w:hAnsi="宋体"/>
          <w:sz w:val="96"/>
          <w:szCs w:val="28"/>
        </w:rPr>
      </w:pPr>
      <w:r>
        <w:rPr>
          <w:rFonts w:hint="eastAsia" w:ascii="宋体" w:hAnsi="宋体"/>
          <w:sz w:val="96"/>
          <w:szCs w:val="28"/>
        </w:rPr>
        <w:t xml:space="preserve">团 </w:t>
      </w:r>
      <w:r>
        <w:rPr>
          <w:rFonts w:ascii="宋体" w:hAnsi="宋体"/>
          <w:sz w:val="96"/>
          <w:szCs w:val="28"/>
        </w:rPr>
        <w:t xml:space="preserve"> </w:t>
      </w:r>
      <w:r>
        <w:rPr>
          <w:rFonts w:hint="eastAsia" w:ascii="宋体" w:hAnsi="宋体"/>
          <w:sz w:val="96"/>
          <w:szCs w:val="28"/>
        </w:rPr>
        <w:t xml:space="preserve">体 </w:t>
      </w:r>
      <w:r>
        <w:rPr>
          <w:rFonts w:ascii="宋体" w:hAnsi="宋体"/>
          <w:sz w:val="96"/>
          <w:szCs w:val="28"/>
        </w:rPr>
        <w:t xml:space="preserve"> </w:t>
      </w:r>
      <w:r>
        <w:rPr>
          <w:rFonts w:hint="eastAsia" w:ascii="宋体" w:hAnsi="宋体"/>
          <w:sz w:val="96"/>
          <w:szCs w:val="28"/>
        </w:rPr>
        <w:t xml:space="preserve">标 </w:t>
      </w:r>
      <w:r>
        <w:rPr>
          <w:rFonts w:ascii="宋体" w:hAnsi="宋体"/>
          <w:sz w:val="96"/>
          <w:szCs w:val="28"/>
        </w:rPr>
        <w:t xml:space="preserve"> </w:t>
      </w:r>
      <w:r>
        <w:rPr>
          <w:rFonts w:hint="eastAsia" w:ascii="宋体" w:hAnsi="宋体"/>
          <w:sz w:val="96"/>
          <w:szCs w:val="28"/>
        </w:rPr>
        <w:t>准</w:t>
      </w:r>
    </w:p>
    <w:p>
      <w:pPr>
        <w:ind w:firstLine="440"/>
        <w:jc w:val="right"/>
        <w:rPr>
          <w:rFonts w:hint="eastAsia" w:ascii="黑体" w:hAnsi="黑体" w:eastAsia="黑体"/>
          <w:sz w:val="22"/>
          <w:szCs w:val="28"/>
        </w:rPr>
      </w:pPr>
      <w:r>
        <w:rPr>
          <w:rFonts w:hint="eastAsia" w:ascii="黑体" w:hAnsi="黑体" w:eastAsia="黑体"/>
          <w:sz w:val="22"/>
          <w:szCs w:val="28"/>
        </w:rPr>
        <w:t>团体标准编号T</w:t>
      </w:r>
      <w:r>
        <w:rPr>
          <w:rFonts w:ascii="黑体" w:hAnsi="黑体" w:eastAsia="黑体"/>
          <w:sz w:val="22"/>
          <w:szCs w:val="28"/>
        </w:rPr>
        <w:t>/</w:t>
      </w:r>
      <w:r>
        <w:rPr>
          <w:rFonts w:hint="eastAsia" w:ascii="黑体" w:hAnsi="黑体" w:eastAsia="黑体"/>
          <w:sz w:val="22"/>
          <w:szCs w:val="28"/>
        </w:rPr>
        <w:t>BRA-CDCHE</w:t>
      </w:r>
      <w:r>
        <w:rPr>
          <w:rFonts w:hint="eastAsia"/>
        </w:rPr>
        <w:t>/</w:t>
      </w:r>
      <w:r>
        <w:rPr>
          <w:rFonts w:ascii="黑体" w:hAnsi="黑体" w:eastAsia="黑体"/>
          <w:sz w:val="22"/>
          <w:szCs w:val="28"/>
        </w:rPr>
        <w:t xml:space="preserve"> XXXX-XXXX</w:t>
      </w:r>
    </w:p>
    <w:p>
      <w:pPr>
        <w:ind w:firstLine="440"/>
        <w:jc w:val="center"/>
        <w:rPr>
          <w:rFonts w:hint="eastAsia" w:ascii="黑体" w:hAnsi="黑体" w:eastAsia="黑体"/>
          <w:sz w:val="22"/>
          <w:szCs w:val="28"/>
        </w:rPr>
      </w:pPr>
      <w:r>
        <w:rPr>
          <w:rFonts w:hint="eastAsia" w:ascii="黑体" w:hAnsi="黑体" w:eastAsia="黑体"/>
          <w:sz w:val="22"/>
          <w:szCs w:val="28"/>
        </w:rPr>
        <w:t xml:space="preserve">                                   代替的团体标准编号（修订填写）</w:t>
      </w:r>
    </w:p>
    <w:p>
      <w:pPr>
        <w:spacing w:line="240" w:lineRule="exact"/>
        <w:jc w:val="left"/>
        <w:rPr>
          <w:rFonts w:hint="eastAsia" w:ascii="宋体" w:hAnsi="宋体"/>
          <w:sz w:val="28"/>
          <w:szCs w:val="28"/>
          <w:u w:val="single"/>
        </w:rPr>
      </w:pPr>
      <w:r>
        <w:rPr>
          <w:rFonts w:hint="eastAsia" w:ascii="宋体" w:hAnsi="宋体"/>
          <w:sz w:val="28"/>
          <w:szCs w:val="28"/>
          <w:u w:val="single"/>
        </w:rPr>
        <w:t xml:space="preserve"> </w:t>
      </w:r>
      <w:r>
        <w:rPr>
          <w:rFonts w:ascii="宋体" w:hAnsi="宋体"/>
          <w:sz w:val="28"/>
          <w:szCs w:val="28"/>
          <w:u w:val="single"/>
        </w:rPr>
        <w:t xml:space="preserve">                                                          </w:t>
      </w:r>
    </w:p>
    <w:p>
      <w:pPr>
        <w:jc w:val="left"/>
        <w:rPr>
          <w:rFonts w:hint="eastAsia" w:ascii="宋体" w:hAnsi="宋体"/>
          <w:sz w:val="28"/>
          <w:szCs w:val="28"/>
        </w:rPr>
      </w:pPr>
    </w:p>
    <w:p>
      <w:pPr>
        <w:jc w:val="center"/>
        <w:rPr>
          <w:rFonts w:hint="eastAsia" w:ascii="黑体" w:hAnsi="黑体" w:eastAsia="黑体"/>
          <w:sz w:val="52"/>
          <w:szCs w:val="28"/>
        </w:rPr>
      </w:pPr>
      <w:r>
        <w:rPr>
          <w:rFonts w:hint="eastAsia" w:ascii="黑体" w:hAnsi="黑体" w:eastAsia="黑体"/>
          <w:sz w:val="52"/>
          <w:szCs w:val="28"/>
        </w:rPr>
        <w:t>精神专科医院运动障碍中心</w:t>
      </w:r>
    </w:p>
    <w:p>
      <w:pPr>
        <w:jc w:val="center"/>
        <w:rPr>
          <w:rFonts w:hint="eastAsia" w:ascii="黑体" w:hAnsi="黑体" w:eastAsia="黑体"/>
          <w:sz w:val="52"/>
          <w:szCs w:val="28"/>
        </w:rPr>
      </w:pPr>
      <w:r>
        <w:rPr>
          <w:rFonts w:hint="eastAsia" w:ascii="黑体" w:hAnsi="黑体" w:eastAsia="黑体"/>
          <w:sz w:val="52"/>
          <w:szCs w:val="28"/>
        </w:rPr>
        <w:t>建设与管理规范</w:t>
      </w:r>
    </w:p>
    <w:p>
      <w:pPr>
        <w:jc w:val="center"/>
        <w:rPr>
          <w:rFonts w:ascii="Times New Roman" w:hAnsi="Times New Roman" w:cs="Times New Roman"/>
          <w:sz w:val="28"/>
          <w:szCs w:val="28"/>
        </w:rPr>
      </w:pPr>
      <w:r>
        <w:rPr>
          <w:rFonts w:ascii="Times New Roman" w:hAnsi="Times New Roman" w:eastAsia="宋体" w:cs="Times New Roman"/>
          <w:sz w:val="28"/>
          <w:szCs w:val="28"/>
        </w:rPr>
        <w:t xml:space="preserve">Guidelines for the Establishment of </w:t>
      </w:r>
      <w:r>
        <w:rPr>
          <w:rFonts w:hint="eastAsia" w:ascii="Times New Roman" w:hAnsi="Times New Roman" w:eastAsia="宋体" w:cs="Times New Roman"/>
          <w:sz w:val="28"/>
          <w:szCs w:val="28"/>
        </w:rPr>
        <w:t xml:space="preserve">Movement Disorder Center </w:t>
      </w:r>
      <w:r>
        <w:rPr>
          <w:rFonts w:ascii="Times New Roman" w:hAnsi="Times New Roman" w:eastAsia="宋体" w:cs="Times New Roman"/>
          <w:sz w:val="28"/>
          <w:szCs w:val="28"/>
        </w:rPr>
        <w:t>in Psychiatric Hospitals</w:t>
      </w:r>
    </w:p>
    <w:p>
      <w:pPr>
        <w:jc w:val="left"/>
        <w:rPr>
          <w:rFonts w:hint="eastAsia" w:ascii="宋体" w:hAnsi="宋体"/>
          <w:sz w:val="28"/>
          <w:szCs w:val="28"/>
        </w:rPr>
      </w:pPr>
    </w:p>
    <w:p>
      <w:pPr>
        <w:ind w:firstLine="280" w:firstLineChars="100"/>
        <w:jc w:val="left"/>
        <w:rPr>
          <w:rFonts w:hint="eastAsia" w:ascii="宋体" w:hAnsi="宋体"/>
          <w:sz w:val="28"/>
          <w:szCs w:val="28"/>
        </w:rPr>
      </w:pPr>
    </w:p>
    <w:p>
      <w:pPr>
        <w:ind w:firstLine="280" w:firstLineChars="100"/>
        <w:jc w:val="left"/>
        <w:rPr>
          <w:rFonts w:hint="eastAsia" w:ascii="宋体" w:hAnsi="宋体"/>
          <w:sz w:val="28"/>
          <w:szCs w:val="28"/>
        </w:rPr>
      </w:pPr>
      <w:r>
        <w:rPr>
          <w:rFonts w:hint="eastAsia" w:ascii="宋体" w:hAnsi="宋体"/>
          <w:sz w:val="28"/>
          <w:szCs w:val="28"/>
        </w:rPr>
        <w:t>X</w:t>
      </w:r>
      <w:r>
        <w:rPr>
          <w:rFonts w:ascii="宋体" w:hAnsi="宋体"/>
          <w:sz w:val="28"/>
          <w:szCs w:val="28"/>
        </w:rPr>
        <w:t>XXX</w:t>
      </w:r>
      <w:r>
        <w:rPr>
          <w:rFonts w:hint="eastAsia" w:ascii="宋体" w:hAnsi="宋体"/>
          <w:sz w:val="28"/>
          <w:szCs w:val="28"/>
        </w:rPr>
        <w:t>年X</w:t>
      </w:r>
      <w:r>
        <w:rPr>
          <w:rFonts w:ascii="宋体" w:hAnsi="宋体"/>
          <w:sz w:val="28"/>
          <w:szCs w:val="28"/>
        </w:rPr>
        <w:t>X</w:t>
      </w:r>
      <w:r>
        <w:rPr>
          <w:rFonts w:hint="eastAsia" w:ascii="宋体" w:hAnsi="宋体"/>
          <w:sz w:val="28"/>
          <w:szCs w:val="28"/>
        </w:rPr>
        <w:t>月X</w:t>
      </w:r>
      <w:r>
        <w:rPr>
          <w:rFonts w:ascii="宋体" w:hAnsi="宋体"/>
          <w:sz w:val="28"/>
          <w:szCs w:val="28"/>
        </w:rPr>
        <w:t>X</w:t>
      </w:r>
      <w:r>
        <w:rPr>
          <w:rFonts w:hint="eastAsia" w:ascii="宋体" w:hAnsi="宋体"/>
          <w:sz w:val="28"/>
          <w:szCs w:val="28"/>
        </w:rPr>
        <w:t xml:space="preserve">日 </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X</w:t>
      </w:r>
      <w:r>
        <w:rPr>
          <w:rFonts w:ascii="宋体" w:hAnsi="宋体"/>
          <w:sz w:val="28"/>
          <w:szCs w:val="28"/>
        </w:rPr>
        <w:t>XXX</w:t>
      </w:r>
      <w:r>
        <w:rPr>
          <w:rFonts w:hint="eastAsia" w:ascii="宋体" w:hAnsi="宋体"/>
          <w:sz w:val="28"/>
          <w:szCs w:val="28"/>
        </w:rPr>
        <w:t>年X</w:t>
      </w:r>
      <w:r>
        <w:rPr>
          <w:rFonts w:ascii="宋体" w:hAnsi="宋体"/>
          <w:sz w:val="28"/>
          <w:szCs w:val="28"/>
        </w:rPr>
        <w:t>X</w:t>
      </w:r>
      <w:r>
        <w:rPr>
          <w:rFonts w:hint="eastAsia" w:ascii="宋体" w:hAnsi="宋体"/>
          <w:sz w:val="28"/>
          <w:szCs w:val="28"/>
        </w:rPr>
        <w:t>月X</w:t>
      </w:r>
      <w:r>
        <w:rPr>
          <w:rFonts w:ascii="宋体" w:hAnsi="宋体"/>
          <w:sz w:val="28"/>
          <w:szCs w:val="28"/>
        </w:rPr>
        <w:t>X</w:t>
      </w:r>
      <w:r>
        <w:rPr>
          <w:rFonts w:hint="eastAsia" w:ascii="宋体" w:hAnsi="宋体"/>
          <w:sz w:val="28"/>
          <w:szCs w:val="28"/>
        </w:rPr>
        <w:t>日实施</w:t>
      </w:r>
    </w:p>
    <w:p>
      <w:pPr>
        <w:ind w:firstLine="280" w:firstLineChars="100"/>
        <w:jc w:val="left"/>
        <w:rPr>
          <w:rFonts w:hint="eastAsia" w:ascii="宋体" w:hAnsi="宋体"/>
          <w:sz w:val="28"/>
          <w:szCs w:val="28"/>
          <w:u w:val="single"/>
        </w:rPr>
      </w:pPr>
      <w:r>
        <w:rPr>
          <w:rFonts w:hint="eastAsia" w:ascii="宋体" w:hAnsi="宋体"/>
          <w:sz w:val="28"/>
          <w:szCs w:val="28"/>
          <w:u w:val="single"/>
        </w:rPr>
        <w:t xml:space="preserve"> </w:t>
      </w:r>
      <w:r>
        <w:rPr>
          <w:rFonts w:ascii="宋体" w:hAnsi="宋体"/>
          <w:sz w:val="28"/>
          <w:szCs w:val="28"/>
          <w:u w:val="single"/>
        </w:rPr>
        <w:t xml:space="preserve">                                                          </w:t>
      </w:r>
    </w:p>
    <w:p>
      <w:pPr>
        <w:ind w:firstLine="800"/>
        <w:jc w:val="center"/>
        <w:rPr>
          <w:rFonts w:hint="eastAsia" w:ascii="黑体" w:hAnsi="黑体" w:eastAsia="黑体"/>
          <w:sz w:val="28"/>
          <w:szCs w:val="28"/>
        </w:rPr>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cols w:space="425" w:num="1"/>
          <w:docGrid w:type="lines" w:linePitch="312" w:charSpace="0"/>
        </w:sectPr>
      </w:pPr>
      <w:r>
        <w:rPr>
          <w:rFonts w:hint="eastAsia" w:ascii="宋体" w:hAnsi="宋体"/>
          <w:sz w:val="36"/>
          <w:szCs w:val="24"/>
        </w:rPr>
        <w:t>北京慢性病防治与健康教育研究会</w:t>
      </w:r>
      <w:r>
        <w:rPr>
          <w:rFonts w:hint="eastAsia" w:ascii="宋体" w:hAnsi="宋体"/>
          <w:sz w:val="40"/>
          <w:szCs w:val="28"/>
        </w:rPr>
        <w:t xml:space="preserve"> </w:t>
      </w:r>
      <w:r>
        <w:rPr>
          <w:rFonts w:hint="eastAsia" w:ascii="黑体" w:hAnsi="黑体" w:eastAsia="黑体"/>
          <w:sz w:val="28"/>
          <w:szCs w:val="28"/>
        </w:rPr>
        <w:t>发布</w:t>
      </w:r>
    </w:p>
    <w:p>
      <w:pPr>
        <w:pStyle w:val="27"/>
        <w:tabs>
          <w:tab w:val="left" w:pos="229"/>
          <w:tab w:val="center" w:pos="4215"/>
        </w:tabs>
        <w:spacing w:before="312" w:beforeLines="100" w:after="312" w:afterLines="100"/>
        <w:jc w:val="left"/>
        <w:rPr>
          <w:rFonts w:hint="eastAsia" w:hAnsi="黑体"/>
          <w:b/>
          <w:bCs/>
        </w:rPr>
      </w:pPr>
      <w:bookmarkStart w:id="0" w:name="_Toc509933846"/>
      <w:bookmarkStart w:id="1" w:name="_Toc510534525"/>
      <w:r>
        <w:rPr>
          <w:rFonts w:hint="eastAsia" w:hAnsi="黑体"/>
          <w:b/>
          <w:bCs/>
        </w:rPr>
        <w:tab/>
      </w:r>
      <w:r>
        <w:rPr>
          <w:rFonts w:hint="eastAsia" w:hAnsi="黑体"/>
          <w:b/>
          <w:bCs/>
        </w:rPr>
        <w:tab/>
      </w:r>
      <w:bookmarkStart w:id="2" w:name="_Toc237988293"/>
      <w:r>
        <w:rPr>
          <w:rFonts w:hint="eastAsia" w:hAnsi="黑体"/>
          <w:b/>
          <w:bCs/>
        </w:rPr>
        <w:t>目</w:t>
      </w:r>
      <w:bookmarkStart w:id="3" w:name="BKML"/>
      <w:r>
        <w:rPr>
          <w:rFonts w:hAnsi="黑体"/>
          <w:b/>
          <w:bCs/>
        </w:rPr>
        <w:t> </w:t>
      </w:r>
      <w:r>
        <w:rPr>
          <w:rFonts w:hint="eastAsia" w:hAnsi="黑体"/>
          <w:b/>
          <w:bCs/>
        </w:rPr>
        <w:t>次</w:t>
      </w:r>
      <w:bookmarkEnd w:id="0"/>
      <w:bookmarkEnd w:id="1"/>
      <w:bookmarkEnd w:id="2"/>
      <w:bookmarkEnd w:id="3"/>
    </w:p>
    <w:p>
      <w:pPr>
        <w:pStyle w:val="12"/>
        <w:tabs>
          <w:tab w:val="right" w:leader="dot" w:pos="8296"/>
        </w:tabs>
        <w:rPr>
          <w:rFonts w:asciiTheme="minorHAnsi" w:hAnsiTheme="minorHAnsi" w:eastAsiaTheme="minorEastAsia" w:cstheme="minorBidi"/>
          <w:b w:val="0"/>
          <w:bCs w:val="0"/>
          <w:sz w:val="22"/>
          <w:szCs w:val="24"/>
          <w14:ligatures w14:val="standardContextual"/>
        </w:rPr>
      </w:pPr>
      <w:r>
        <w:fldChar w:fldCharType="begin"/>
      </w:r>
      <w:r>
        <w:instrText xml:space="preserve"> TOC \o "1-3" \h \z \u </w:instrText>
      </w:r>
      <w:r>
        <w:fldChar w:fldCharType="separate"/>
      </w:r>
      <w:r>
        <w:fldChar w:fldCharType="begin"/>
      </w:r>
      <w:r>
        <w:instrText xml:space="preserve"> HYPERLINK \l "_Toc237988293" </w:instrText>
      </w:r>
      <w:r>
        <w:fldChar w:fldCharType="separate"/>
      </w:r>
      <w:r>
        <w:rPr>
          <w:rStyle w:val="16"/>
          <w:rFonts w:hAnsi="黑体"/>
        </w:rPr>
        <w:t>目次</w:t>
      </w:r>
      <w:r>
        <w:rPr>
          <w:rFonts w:hint="eastAsia"/>
        </w:rPr>
        <w:tab/>
      </w:r>
      <w:r>
        <w:rPr>
          <w:rFonts w:hint="eastAsia"/>
        </w:rPr>
        <w:fldChar w:fldCharType="begin"/>
      </w:r>
      <w:r>
        <w:rPr>
          <w:rFonts w:hint="eastAsia"/>
        </w:rPr>
        <w:instrText xml:space="preserve"> </w:instrText>
      </w:r>
      <w:r>
        <w:instrText xml:space="preserve">PAGEREF _Toc237988293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12"/>
        <w:tabs>
          <w:tab w:val="right" w:leader="dot" w:pos="8296"/>
        </w:tabs>
        <w:rPr>
          <w:rFonts w:asciiTheme="minorHAnsi" w:hAnsiTheme="minorHAnsi" w:eastAsiaTheme="minorEastAsia" w:cstheme="minorBidi"/>
          <w:b w:val="0"/>
          <w:bCs w:val="0"/>
          <w:sz w:val="22"/>
          <w:szCs w:val="24"/>
          <w14:ligatures w14:val="standardContextual"/>
        </w:rPr>
      </w:pPr>
      <w:r>
        <w:fldChar w:fldCharType="begin"/>
      </w:r>
      <w:r>
        <w:instrText xml:space="preserve"> HYPERLINK \l "_Toc237988294" </w:instrText>
      </w:r>
      <w:r>
        <w:fldChar w:fldCharType="separate"/>
      </w:r>
      <w:r>
        <w:rPr>
          <w:rStyle w:val="16"/>
        </w:rPr>
        <w:t>前  言</w:t>
      </w:r>
      <w:r>
        <w:rPr>
          <w:rFonts w:hint="eastAsia"/>
        </w:rPr>
        <w:tab/>
      </w:r>
      <w:r>
        <w:rPr>
          <w:rFonts w:hint="eastAsia"/>
        </w:rPr>
        <w:fldChar w:fldCharType="begin"/>
      </w:r>
      <w:r>
        <w:rPr>
          <w:rFonts w:hint="eastAsia"/>
        </w:rPr>
        <w:instrText xml:space="preserve"> </w:instrText>
      </w:r>
      <w:r>
        <w:instrText xml:space="preserve">PAGEREF _Toc237988294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2"/>
        <w:tabs>
          <w:tab w:val="right" w:leader="dot" w:pos="8296"/>
        </w:tabs>
        <w:rPr>
          <w:rFonts w:asciiTheme="minorHAnsi" w:hAnsiTheme="minorHAnsi" w:eastAsiaTheme="minorEastAsia" w:cstheme="minorBidi"/>
          <w:b w:val="0"/>
          <w:bCs w:val="0"/>
          <w:sz w:val="22"/>
          <w:szCs w:val="24"/>
          <w14:ligatures w14:val="standardContextual"/>
        </w:rPr>
      </w:pPr>
      <w:r>
        <w:fldChar w:fldCharType="begin"/>
      </w:r>
      <w:r>
        <w:instrText xml:space="preserve"> HYPERLINK \l "_Toc237988295" </w:instrText>
      </w:r>
      <w:r>
        <w:fldChar w:fldCharType="separate"/>
      </w:r>
      <w:r>
        <w:rPr>
          <w:rStyle w:val="16"/>
          <w:spacing w:val="320"/>
        </w:rPr>
        <w:t>引言</w:t>
      </w:r>
      <w:r>
        <w:rPr>
          <w:rFonts w:hint="eastAsia"/>
        </w:rPr>
        <w:tab/>
      </w:r>
      <w:r>
        <w:rPr>
          <w:rFonts w:hint="eastAsia"/>
        </w:rPr>
        <w:fldChar w:fldCharType="begin"/>
      </w:r>
      <w:r>
        <w:rPr>
          <w:rFonts w:hint="eastAsia"/>
        </w:rPr>
        <w:instrText xml:space="preserve"> </w:instrText>
      </w:r>
      <w:r>
        <w:instrText xml:space="preserve">PAGEREF _Toc237988295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12"/>
        <w:tabs>
          <w:tab w:val="right" w:leader="dot" w:pos="8296"/>
        </w:tabs>
        <w:rPr>
          <w:rFonts w:asciiTheme="minorHAnsi" w:hAnsiTheme="minorHAnsi" w:eastAsiaTheme="minorEastAsia" w:cstheme="minorBidi"/>
          <w:b w:val="0"/>
          <w:bCs w:val="0"/>
          <w:sz w:val="22"/>
          <w:szCs w:val="24"/>
          <w14:ligatures w14:val="standardContextual"/>
        </w:rPr>
      </w:pPr>
      <w:r>
        <w:fldChar w:fldCharType="begin"/>
      </w:r>
      <w:r>
        <w:instrText xml:space="preserve"> HYPERLINK \l "_Toc237988296" </w:instrText>
      </w:r>
      <w:r>
        <w:fldChar w:fldCharType="separate"/>
      </w:r>
      <w:r>
        <w:rPr>
          <w:rStyle w:val="16"/>
        </w:rPr>
        <w:t>标准名称</w:t>
      </w:r>
      <w:r>
        <w:rPr>
          <w:rFonts w:hint="eastAsia"/>
        </w:rPr>
        <w:tab/>
      </w:r>
      <w:r>
        <w:rPr>
          <w:rFonts w:hint="eastAsia"/>
        </w:rPr>
        <w:fldChar w:fldCharType="begin"/>
      </w:r>
      <w:r>
        <w:rPr>
          <w:rFonts w:hint="eastAsia"/>
        </w:rPr>
        <w:instrText xml:space="preserve"> </w:instrText>
      </w:r>
      <w:r>
        <w:instrText xml:space="preserve">PAGEREF _Toc237988296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3"/>
        <w:tabs>
          <w:tab w:val="right" w:leader="dot" w:pos="8296"/>
        </w:tabs>
        <w:rPr>
          <w:sz w:val="22"/>
          <w:szCs w:val="24"/>
          <w14:ligatures w14:val="standardContextual"/>
        </w:rPr>
      </w:pPr>
      <w:r>
        <w:fldChar w:fldCharType="begin"/>
      </w:r>
      <w:r>
        <w:instrText xml:space="preserve"> HYPERLINK \l "_Toc237988297" </w:instrText>
      </w:r>
      <w:r>
        <w:fldChar w:fldCharType="separate"/>
      </w:r>
      <w:r>
        <w:rPr>
          <w:rStyle w:val="16"/>
        </w:rPr>
        <w:t>1. 范围</w:t>
      </w:r>
      <w:r>
        <w:rPr>
          <w:rFonts w:hint="eastAsia"/>
        </w:rPr>
        <w:tab/>
      </w:r>
      <w:r>
        <w:rPr>
          <w:rFonts w:hint="eastAsia"/>
        </w:rPr>
        <w:fldChar w:fldCharType="begin"/>
      </w:r>
      <w:r>
        <w:rPr>
          <w:rFonts w:hint="eastAsia"/>
        </w:rPr>
        <w:instrText xml:space="preserve"> </w:instrText>
      </w:r>
      <w:r>
        <w:instrText xml:space="preserve">PAGEREF _Toc237988297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3"/>
        <w:tabs>
          <w:tab w:val="right" w:leader="dot" w:pos="8296"/>
        </w:tabs>
        <w:rPr>
          <w:sz w:val="22"/>
          <w:szCs w:val="24"/>
          <w14:ligatures w14:val="standardContextual"/>
        </w:rPr>
      </w:pPr>
      <w:r>
        <w:fldChar w:fldCharType="begin"/>
      </w:r>
      <w:r>
        <w:instrText xml:space="preserve"> HYPERLINK \l "_Toc237988298" </w:instrText>
      </w:r>
      <w:r>
        <w:fldChar w:fldCharType="separate"/>
      </w:r>
      <w:r>
        <w:rPr>
          <w:rStyle w:val="16"/>
        </w:rPr>
        <w:t>2. 规范性引用文件</w:t>
      </w:r>
      <w:r>
        <w:rPr>
          <w:rFonts w:hint="eastAsia"/>
        </w:rPr>
        <w:tab/>
      </w:r>
      <w:r>
        <w:rPr>
          <w:rFonts w:hint="eastAsia"/>
        </w:rPr>
        <w:fldChar w:fldCharType="begin"/>
      </w:r>
      <w:r>
        <w:rPr>
          <w:rFonts w:hint="eastAsia"/>
        </w:rPr>
        <w:instrText xml:space="preserve"> </w:instrText>
      </w:r>
      <w:r>
        <w:instrText xml:space="preserve">PAGEREF _Toc237988298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13"/>
        <w:tabs>
          <w:tab w:val="right" w:leader="dot" w:pos="8296"/>
        </w:tabs>
        <w:rPr>
          <w:sz w:val="22"/>
          <w:szCs w:val="24"/>
          <w14:ligatures w14:val="standardContextual"/>
        </w:rPr>
      </w:pPr>
      <w:r>
        <w:fldChar w:fldCharType="begin"/>
      </w:r>
      <w:r>
        <w:instrText xml:space="preserve"> HYPERLINK \l "_Toc237988299" </w:instrText>
      </w:r>
      <w:r>
        <w:fldChar w:fldCharType="separate"/>
      </w:r>
      <w:r>
        <w:rPr>
          <w:rStyle w:val="16"/>
        </w:rPr>
        <w:t>3. 术语和定义</w:t>
      </w:r>
      <w:r>
        <w:rPr>
          <w:rFonts w:hint="eastAsia"/>
        </w:rPr>
        <w:tab/>
      </w:r>
      <w:r>
        <w:rPr>
          <w:rFonts w:hint="eastAsia"/>
        </w:rPr>
        <w:fldChar w:fldCharType="begin"/>
      </w:r>
      <w:r>
        <w:rPr>
          <w:rFonts w:hint="eastAsia"/>
        </w:rPr>
        <w:instrText xml:space="preserve"> </w:instrText>
      </w:r>
      <w:r>
        <w:instrText xml:space="preserve">PAGEREF _Toc237988299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"_Toc237988300" </w:instrText>
      </w:r>
      <w:r>
        <w:fldChar w:fldCharType="separate"/>
      </w:r>
      <w:r>
        <w:rPr>
          <w:rStyle w:val="16"/>
        </w:rPr>
        <w:t>3.1 精神专科医院 （psychiatric specialty hospital）</w:t>
      </w:r>
      <w:r>
        <w:rPr>
          <w:rFonts w:hint="eastAsia"/>
        </w:rPr>
        <w:tab/>
      </w:r>
      <w:r>
        <w:rPr>
          <w:rFonts w:hint="eastAsia"/>
        </w:rPr>
        <w:fldChar w:fldCharType="begin"/>
      </w:r>
      <w:r>
        <w:rPr>
          <w:rFonts w:hint="eastAsia"/>
        </w:rPr>
        <w:instrText xml:space="preserve"> </w:instrText>
      </w:r>
      <w:r>
        <w:instrText xml:space="preserve">PAGEREF _Toc237988300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"_Toc237988301" </w:instrText>
      </w:r>
      <w:r>
        <w:fldChar w:fldCharType="separate"/>
      </w:r>
      <w:r>
        <w:rPr>
          <w:rStyle w:val="16"/>
        </w:rPr>
        <w:t>3.2 运动障碍中心（movement disorders center）</w:t>
      </w:r>
      <w:r>
        <w:rPr>
          <w:rFonts w:hint="eastAsia"/>
        </w:rPr>
        <w:tab/>
      </w:r>
      <w:r>
        <w:rPr>
          <w:rFonts w:hint="eastAsia"/>
        </w:rPr>
        <w:fldChar w:fldCharType="begin"/>
      </w:r>
      <w:r>
        <w:rPr>
          <w:rFonts w:hint="eastAsia"/>
        </w:rPr>
        <w:instrText xml:space="preserve"> </w:instrText>
      </w:r>
      <w:r>
        <w:instrText xml:space="preserve">PAGEREF _Toc237988301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"_Toc237988302" </w:instrText>
      </w:r>
      <w:r>
        <w:fldChar w:fldCharType="separate"/>
      </w:r>
      <w:r>
        <w:rPr>
          <w:rStyle w:val="16"/>
        </w:rPr>
        <w:t>3.3 药源性运动障碍（drug-induced movement disorders）</w:t>
      </w:r>
      <w:r>
        <w:rPr>
          <w:rFonts w:hint="eastAsia"/>
        </w:rPr>
        <w:tab/>
      </w:r>
      <w:r>
        <w:rPr>
          <w:rFonts w:hint="eastAsia"/>
        </w:rPr>
        <w:fldChar w:fldCharType="begin"/>
      </w:r>
      <w:r>
        <w:rPr>
          <w:rFonts w:hint="eastAsia"/>
        </w:rPr>
        <w:instrText xml:space="preserve"> </w:instrText>
      </w:r>
      <w:r>
        <w:instrText xml:space="preserve">PAGEREF _Toc237988302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"_Toc237988303" </w:instrText>
      </w:r>
      <w:r>
        <w:fldChar w:fldCharType="separate"/>
      </w:r>
      <w:r>
        <w:rPr>
          <w:rStyle w:val="16"/>
        </w:rPr>
        <w:t>3.4 运动障碍疾病伴精神症状（primary movement disorders with psychiatric comorbidities）</w:t>
      </w:r>
      <w:r>
        <w:rPr>
          <w:rFonts w:hint="eastAsia"/>
        </w:rPr>
        <w:tab/>
      </w:r>
      <w:r>
        <w:rPr>
          <w:rFonts w:hint="eastAsia"/>
        </w:rPr>
        <w:fldChar w:fldCharType="begin"/>
      </w:r>
      <w:r>
        <w:rPr>
          <w:rFonts w:hint="eastAsia"/>
        </w:rPr>
        <w:instrText xml:space="preserve"> </w:instrText>
      </w:r>
      <w:r>
        <w:instrText xml:space="preserve">PAGEREF _Toc237988303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"_Toc237988304" </w:instrText>
      </w:r>
      <w:r>
        <w:fldChar w:fldCharType="separate"/>
      </w:r>
      <w:r>
        <w:rPr>
          <w:rStyle w:val="16"/>
        </w:rPr>
        <w:t>3.5 神经精神联合诊疗模式 （integrated neuropsychiatric care model）</w:t>
      </w:r>
      <w:r>
        <w:rPr>
          <w:rFonts w:hint="eastAsia"/>
        </w:rPr>
        <w:tab/>
      </w:r>
      <w:r>
        <w:rPr>
          <w:rFonts w:hint="eastAsia"/>
        </w:rPr>
        <w:fldChar w:fldCharType="begin"/>
      </w:r>
      <w:r>
        <w:rPr>
          <w:rFonts w:hint="eastAsia"/>
        </w:rPr>
        <w:instrText xml:space="preserve"> </w:instrText>
      </w:r>
      <w:r>
        <w:instrText xml:space="preserve">PAGEREF _Toc237988304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13"/>
        <w:tabs>
          <w:tab w:val="right" w:leader="dot" w:pos="8296"/>
        </w:tabs>
        <w:rPr>
          <w:sz w:val="22"/>
          <w:szCs w:val="24"/>
          <w14:ligatures w14:val="standardContextual"/>
        </w:rPr>
      </w:pPr>
      <w:r>
        <w:fldChar w:fldCharType="begin"/>
      </w:r>
      <w:r>
        <w:instrText xml:space="preserve"> HYPERLINK \l "_Toc237988305" </w:instrText>
      </w:r>
      <w:r>
        <w:fldChar w:fldCharType="separate"/>
      </w:r>
      <w:r>
        <w:rPr>
          <w:rStyle w:val="16"/>
        </w:rPr>
        <w:t>4. 组织与管理</w:t>
      </w:r>
      <w:r>
        <w:rPr>
          <w:rFonts w:hint="eastAsia"/>
        </w:rPr>
        <w:tab/>
      </w:r>
      <w:r>
        <w:rPr>
          <w:rFonts w:hint="eastAsia"/>
        </w:rPr>
        <w:fldChar w:fldCharType="begin"/>
      </w:r>
      <w:r>
        <w:rPr>
          <w:rFonts w:hint="eastAsia"/>
        </w:rPr>
        <w:instrText xml:space="preserve"> </w:instrText>
      </w:r>
      <w:r>
        <w:instrText xml:space="preserve">PAGEREF _Toc237988305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"_Toc237988306" </w:instrText>
      </w:r>
      <w:r>
        <w:fldChar w:fldCharType="separate"/>
      </w:r>
      <w:r>
        <w:rPr>
          <w:rStyle w:val="16"/>
        </w:rPr>
        <w:t>4.1 运动障碍中心分级设置及总体职责</w:t>
      </w:r>
      <w:r>
        <w:rPr>
          <w:rFonts w:hint="eastAsia"/>
        </w:rPr>
        <w:tab/>
      </w:r>
      <w:r>
        <w:rPr>
          <w:rFonts w:hint="eastAsia"/>
        </w:rPr>
        <w:fldChar w:fldCharType="begin"/>
      </w:r>
      <w:r>
        <w:rPr>
          <w:rFonts w:hint="eastAsia"/>
        </w:rPr>
        <w:instrText xml:space="preserve"> </w:instrText>
      </w:r>
      <w:r>
        <w:instrText xml:space="preserve">PAGEREF _Toc237988306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"_Toc237988307" </w:instrText>
      </w:r>
      <w:r>
        <w:fldChar w:fldCharType="separate"/>
      </w:r>
      <w:r>
        <w:rPr>
          <w:rStyle w:val="16"/>
        </w:rPr>
        <w:t>4.2 初级中心</w:t>
      </w:r>
      <w:r>
        <w:rPr>
          <w:rFonts w:hint="eastAsia"/>
        </w:rPr>
        <w:tab/>
      </w:r>
      <w:r>
        <w:rPr>
          <w:rFonts w:hint="eastAsia"/>
        </w:rPr>
        <w:fldChar w:fldCharType="begin"/>
      </w:r>
      <w:r>
        <w:rPr>
          <w:rFonts w:hint="eastAsia"/>
        </w:rPr>
        <w:instrText xml:space="preserve"> </w:instrText>
      </w:r>
      <w:r>
        <w:instrText xml:space="preserve">PAGEREF _Toc237988307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"_Toc237988308" </w:instrText>
      </w:r>
      <w:r>
        <w:fldChar w:fldCharType="separate"/>
      </w:r>
      <w:r>
        <w:rPr>
          <w:rStyle w:val="16"/>
        </w:rPr>
        <w:t>4.</w:t>
      </w:r>
      <w:r>
        <w:rPr>
          <w:rStyle w:val="16"/>
          <w:rFonts w:hint="eastAsia"/>
        </w:rPr>
        <w:t>3</w:t>
      </w:r>
      <w:r>
        <w:rPr>
          <w:rStyle w:val="16"/>
        </w:rPr>
        <w:t xml:space="preserve"> 标准中心</w:t>
      </w:r>
      <w:r>
        <w:rPr>
          <w:rFonts w:hint="eastAsia"/>
        </w:rPr>
        <w:tab/>
      </w:r>
      <w:r>
        <w:rPr>
          <w:rFonts w:hint="eastAsia"/>
        </w:rPr>
        <w:fldChar w:fldCharType="begin"/>
      </w:r>
      <w:r>
        <w:rPr>
          <w:rFonts w:hint="eastAsia"/>
        </w:rPr>
        <w:instrText xml:space="preserve"> </w:instrText>
      </w:r>
      <w:r>
        <w:instrText xml:space="preserve">PAGEREF _Toc237988308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8"/>
        <w:tabs>
          <w:tab w:val="right" w:leader="dot" w:pos="8296"/>
        </w:tabs>
        <w:rPr>
          <w:rFonts w:cstheme="minorBidi"/>
          <w:kern w:val="2"/>
          <w:szCs w:val="24"/>
          <w14:ligatures w14:val="standardContextual"/>
        </w:rPr>
      </w:pPr>
      <w:r>
        <w:fldChar w:fldCharType="begin"/>
      </w:r>
      <w:r>
        <w:instrText xml:space="preserve"> HYPERLINK \l "_Toc237988309" </w:instrText>
      </w:r>
      <w:r>
        <w:fldChar w:fldCharType="separate"/>
      </w:r>
      <w:r>
        <w:rPr>
          <w:rStyle w:val="16"/>
        </w:rPr>
        <w:t>4.4 高级中心</w:t>
      </w:r>
      <w:r>
        <w:rPr>
          <w:rFonts w:hint="eastAsia"/>
        </w:rPr>
        <w:tab/>
      </w:r>
      <w:r>
        <w:rPr>
          <w:rFonts w:hint="eastAsia"/>
        </w:rPr>
        <w:fldChar w:fldCharType="begin"/>
      </w:r>
      <w:r>
        <w:rPr>
          <w:rFonts w:hint="eastAsia"/>
        </w:rPr>
        <w:instrText xml:space="preserve"> </w:instrText>
      </w:r>
      <w:r>
        <w:instrText xml:space="preserve">PAGEREF _Toc237988309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13"/>
        <w:tabs>
          <w:tab w:val="right" w:leader="dot" w:pos="8296"/>
        </w:tabs>
        <w:rPr>
          <w:sz w:val="22"/>
          <w:szCs w:val="24"/>
          <w14:ligatures w14:val="standardContextual"/>
        </w:rPr>
      </w:pPr>
      <w:r>
        <w:fldChar w:fldCharType="begin"/>
      </w:r>
      <w:r>
        <w:instrText xml:space="preserve"> HYPERLINK \l "_Toc237988310" </w:instrText>
      </w:r>
      <w:r>
        <w:fldChar w:fldCharType="separate"/>
      </w:r>
      <w:r>
        <w:rPr>
          <w:rStyle w:val="16"/>
        </w:rPr>
        <w:t>5. 建立运动障碍病例登记系统和数据库</w:t>
      </w:r>
      <w:r>
        <w:rPr>
          <w:rFonts w:hint="eastAsia"/>
        </w:rPr>
        <w:tab/>
      </w:r>
      <w:r>
        <w:rPr>
          <w:rFonts w:hint="eastAsia"/>
        </w:rPr>
        <w:fldChar w:fldCharType="begin"/>
      </w:r>
      <w:r>
        <w:rPr>
          <w:rFonts w:hint="eastAsia"/>
        </w:rPr>
        <w:instrText xml:space="preserve"> </w:instrText>
      </w:r>
      <w:r>
        <w:instrText xml:space="preserve">PAGEREF _Toc237988310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pPr>
        <w:pStyle w:val="13"/>
        <w:tabs>
          <w:tab w:val="right" w:leader="dot" w:pos="8296"/>
        </w:tabs>
        <w:rPr>
          <w:sz w:val="22"/>
          <w:szCs w:val="24"/>
          <w14:ligatures w14:val="standardContextual"/>
        </w:rPr>
      </w:pPr>
      <w:r>
        <w:fldChar w:fldCharType="begin"/>
      </w:r>
      <w:r>
        <w:instrText xml:space="preserve"> HYPERLINK \l "_Toc237988311" </w:instrText>
      </w:r>
      <w:r>
        <w:fldChar w:fldCharType="separate"/>
      </w:r>
      <w:r>
        <w:rPr>
          <w:rStyle w:val="16"/>
        </w:rPr>
        <w:t>6. 评估与认证考核制度</w:t>
      </w:r>
      <w:r>
        <w:rPr>
          <w:rFonts w:hint="eastAsia"/>
        </w:rPr>
        <w:tab/>
      </w:r>
      <w:r>
        <w:rPr>
          <w:rFonts w:hint="eastAsia"/>
        </w:rPr>
        <w:fldChar w:fldCharType="begin"/>
      </w:r>
      <w:r>
        <w:rPr>
          <w:rFonts w:hint="eastAsia"/>
        </w:rPr>
        <w:instrText xml:space="preserve"> </w:instrText>
      </w:r>
      <w:r>
        <w:instrText xml:space="preserve">PAGEREF _Toc237988311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12"/>
        <w:tabs>
          <w:tab w:val="right" w:leader="dot" w:pos="8296"/>
        </w:tabs>
        <w:rPr>
          <w:rFonts w:asciiTheme="minorHAnsi" w:hAnsiTheme="minorHAnsi" w:eastAsiaTheme="minorEastAsia" w:cstheme="minorBidi"/>
          <w:b w:val="0"/>
          <w:bCs w:val="0"/>
          <w:sz w:val="22"/>
          <w:szCs w:val="24"/>
          <w14:ligatures w14:val="standardContextual"/>
        </w:rPr>
      </w:pPr>
      <w:r>
        <w:fldChar w:fldCharType="begin"/>
      </w:r>
      <w:r>
        <w:instrText xml:space="preserve"> HYPERLINK \l "_Toc237988312" </w:instrText>
      </w:r>
      <w:r>
        <w:fldChar w:fldCharType="separate"/>
      </w:r>
      <w:r>
        <w:rPr>
          <w:rStyle w:val="16"/>
        </w:rPr>
        <w:t>参 考 文 献</w:t>
      </w:r>
      <w:r>
        <w:rPr>
          <w:rFonts w:hint="eastAsia"/>
        </w:rPr>
        <w:tab/>
      </w:r>
      <w:r>
        <w:rPr>
          <w:rFonts w:hint="eastAsia"/>
        </w:rPr>
        <w:fldChar w:fldCharType="begin"/>
      </w:r>
      <w:r>
        <w:rPr>
          <w:rFonts w:hint="eastAsia"/>
        </w:rPr>
        <w:instrText xml:space="preserve"> </w:instrText>
      </w:r>
      <w:r>
        <w:instrText xml:space="preserve">PAGEREF _Toc237988312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r>
        <w:fldChar w:fldCharType="end"/>
      </w:r>
    </w:p>
    <w:p>
      <w:pPr>
        <w:ind w:firstLine="420" w:firstLineChars="200"/>
      </w:pPr>
      <w:r>
        <w:br w:type="page"/>
      </w:r>
    </w:p>
    <w:p>
      <w:pPr>
        <w:pStyle w:val="42"/>
        <w:spacing w:before="312" w:beforeLines="100" w:after="312" w:afterLines="100"/>
      </w:pPr>
      <w:bookmarkStart w:id="4" w:name="_Toc237988294"/>
      <w:r>
        <w:rPr>
          <w:rFonts w:hint="eastAsia"/>
        </w:rPr>
        <w:t>前  言</w:t>
      </w:r>
      <w:bookmarkEnd w:id="4"/>
    </w:p>
    <w:p>
      <w:pPr>
        <w:pStyle w:val="23"/>
        <w:spacing w:line="360" w:lineRule="exact"/>
        <w:ind w:firstLine="420"/>
        <w:jc w:val="center"/>
        <w:rPr>
          <w:rFonts w:ascii="Times New Roman"/>
        </w:rPr>
      </w:pPr>
    </w:p>
    <w:p>
      <w:pPr>
        <w:spacing w:line="360" w:lineRule="exact"/>
        <w:ind w:firstLine="420" w:firstLineChars="200"/>
        <w:rPr>
          <w:rFonts w:hint="eastAsia" w:ascii="宋体" w:hAnsi="宋体" w:eastAsia="宋体"/>
          <w:szCs w:val="21"/>
        </w:rPr>
      </w:pPr>
      <w:r>
        <w:rPr>
          <w:rFonts w:ascii="宋体" w:hAnsi="宋体" w:eastAsia="宋体"/>
          <w:szCs w:val="21"/>
        </w:rPr>
        <w:t>本文件按照GB/T 1.1-2020《标准化工作导则第1部分：标准化文件的结构和起草规则》的规定起草。</w:t>
      </w:r>
      <w:r>
        <w:rPr>
          <w:rFonts w:ascii="宋体" w:hAnsi="宋体" w:eastAsia="宋体"/>
          <w:szCs w:val="21"/>
        </w:rPr>
        <w:br w:type="textWrapping"/>
      </w:r>
      <w:r>
        <w:rPr>
          <w:rFonts w:hint="eastAsia" w:ascii="宋体" w:hAnsi="宋体" w:eastAsia="宋体"/>
          <w:szCs w:val="21"/>
        </w:rPr>
        <w:t xml:space="preserve">    </w:t>
      </w:r>
      <w:r>
        <w:rPr>
          <w:rFonts w:ascii="宋体" w:hAnsi="宋体" w:eastAsia="宋体"/>
          <w:szCs w:val="21"/>
        </w:rPr>
        <w:t>请注意本文件的某些内容可能涉及专利。本文件的发布机构不承担识别专利的责任。</w:t>
      </w:r>
    </w:p>
    <w:p>
      <w:pPr>
        <w:spacing w:line="360" w:lineRule="exact"/>
        <w:ind w:firstLine="420" w:firstLineChars="200"/>
        <w:rPr>
          <w:rFonts w:hint="eastAsia" w:ascii="宋体" w:hAnsi="宋体" w:eastAsia="宋体"/>
          <w:szCs w:val="21"/>
        </w:rPr>
      </w:pPr>
      <w:r>
        <w:rPr>
          <w:rFonts w:ascii="宋体" w:hAnsi="宋体" w:eastAsia="宋体"/>
          <w:szCs w:val="21"/>
        </w:rPr>
        <w:t>本文件由北京大学第六医院提出。</w:t>
      </w:r>
    </w:p>
    <w:p>
      <w:pPr>
        <w:spacing w:line="360" w:lineRule="exact"/>
        <w:ind w:firstLine="420" w:firstLineChars="200"/>
        <w:rPr>
          <w:rFonts w:hint="eastAsia" w:ascii="宋体" w:hAnsi="宋体" w:eastAsia="宋体"/>
          <w:szCs w:val="21"/>
        </w:rPr>
      </w:pPr>
      <w:r>
        <w:rPr>
          <w:rFonts w:ascii="宋体" w:hAnsi="宋体" w:eastAsia="宋体"/>
          <w:szCs w:val="21"/>
        </w:rPr>
        <w:t>本文件由</w:t>
      </w:r>
      <w:r>
        <w:rPr>
          <w:rFonts w:hint="eastAsia" w:ascii="宋体" w:hAnsi="宋体" w:eastAsia="宋体"/>
          <w:szCs w:val="21"/>
        </w:rPr>
        <w:t>北京慢性病防治与健康教育研究会</w:t>
      </w:r>
      <w:r>
        <w:rPr>
          <w:rFonts w:ascii="宋体" w:hAnsi="宋体" w:eastAsia="宋体"/>
          <w:szCs w:val="21"/>
        </w:rPr>
        <w:t>归口。</w:t>
      </w:r>
    </w:p>
    <w:p>
      <w:pPr>
        <w:spacing w:line="360" w:lineRule="exact"/>
        <w:ind w:firstLine="420" w:firstLineChars="200"/>
        <w:rPr>
          <w:rFonts w:hint="eastAsia" w:ascii="宋体" w:hAnsi="宋体" w:eastAsia="宋体"/>
          <w:szCs w:val="21"/>
        </w:rPr>
      </w:pPr>
      <w:r>
        <w:rPr>
          <w:rFonts w:ascii="宋体" w:hAnsi="宋体" w:eastAsia="宋体"/>
          <w:szCs w:val="21"/>
        </w:rPr>
        <w:t>本文件起草单位：北京大学第六医院</w:t>
      </w:r>
      <w:r>
        <w:rPr>
          <w:rFonts w:hint="eastAsia" w:ascii="宋体" w:hAnsi="宋体" w:eastAsia="宋体"/>
          <w:szCs w:val="21"/>
        </w:rPr>
        <w:t>、南京医科大学附属脑科医院、河南医科大学第二附属医院、临沂市精神卫生中心、山东省戴庄医院、自贡市精神卫生中心、阜阳市第三人民医院、湖南省第二人民医院（湖南省脑科医院）、淮安市第三人民医院、广西壮族自治区脑科医院、佛山市第三人民医院、台州市第二人民医院、宁波大学附属康宁医院、徐州市东方人民医院、重庆市精神卫生中心、上海市精神卫生中心、淮安市第三人民医院</w:t>
      </w:r>
      <w:r>
        <w:rPr>
          <w:rFonts w:ascii="宋体" w:hAnsi="宋体" w:eastAsia="宋体"/>
          <w:szCs w:val="21"/>
        </w:rPr>
        <w:t>。</w:t>
      </w:r>
    </w:p>
    <w:p>
      <w:pPr>
        <w:ind w:firstLine="420" w:firstLineChars="200"/>
        <w:rPr>
          <w:rFonts w:hint="eastAsia" w:ascii="宋体" w:hAnsi="宋体" w:eastAsia="宋体"/>
          <w:szCs w:val="21"/>
        </w:rPr>
        <w:sectPr>
          <w:footerReference r:id="rId8" w:type="default"/>
          <w:pgSz w:w="11906" w:h="16838"/>
          <w:pgMar w:top="1440" w:right="1800" w:bottom="1440" w:left="1800" w:header="851" w:footer="992" w:gutter="0"/>
          <w:pgNumType w:start="2"/>
          <w:cols w:space="425" w:num="1"/>
          <w:docGrid w:type="lines" w:linePitch="312" w:charSpace="0"/>
        </w:sectPr>
      </w:pPr>
      <w:r>
        <w:rPr>
          <w:rFonts w:ascii="宋体" w:hAnsi="宋体" w:eastAsia="宋体"/>
          <w:szCs w:val="21"/>
        </w:rPr>
        <w:t>本文件主要起草人：袁俊亮、</w:t>
      </w:r>
      <w:r>
        <w:rPr>
          <w:rFonts w:hint="eastAsia" w:ascii="宋体" w:hAnsi="宋体" w:eastAsia="宋体"/>
          <w:szCs w:val="21"/>
        </w:rPr>
        <w:t>王锦锦、陈靖、陈宝玉、赵丹华、汪琦、阎俊、杜爱玲、葛秀民、周玉妮、但毅平、王宁、向光红、潘合跃、刁丽梅、杜韵华、张丽霞、史玲利、李斌、刘丽、黎佳思、王守勇（起草组填写）。</w:t>
      </w:r>
    </w:p>
    <w:p>
      <w:pPr>
        <w:pStyle w:val="42"/>
        <w:spacing w:before="312" w:beforeLines="100" w:after="312" w:afterLines="100"/>
        <w:rPr>
          <w:spacing w:val="320"/>
          <w:szCs w:val="22"/>
        </w:rPr>
      </w:pPr>
      <w:bookmarkStart w:id="5" w:name="_Toc237988295"/>
      <w:bookmarkStart w:id="6" w:name="_Hlk130371822"/>
      <w:r>
        <w:rPr>
          <w:rFonts w:hint="eastAsia"/>
          <w:spacing w:val="320"/>
          <w:szCs w:val="22"/>
        </w:rPr>
        <w:t>引言</w:t>
      </w:r>
      <w:bookmarkEnd w:id="5"/>
    </w:p>
    <w:p>
      <w:pPr>
        <w:spacing w:line="36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精神疾病与神经系统疾病具有共同的神经生物学基础，并存在临床表现和治疗管理方面的交叉。随着医学模式的发展，精神疾病与神经疾病的诊疗模式正逐渐由传统专科分治向神经精神融合诊疗转变，推动神经精神疾病的融合管理已成为精神卫生事业发展的重要方向[1]。运动障碍疾病是连接精神医学与神经病学的重要桥梁疾病，与精神疾病在病理机制、临床表现及药物干预等方面存在显著交叉，已逐渐成为精神专科医疗体系中不可忽视的关键领域[2]。精神专科医院作为精神疾病诊疗的主体机构，在长期临床实践中积累了大量伴发运动障碍的患者群体，形成了独具特色的运动障碍疾病谱系，既包括以药源性帕金森综合征、迟发性运动障碍等为代表的药源性运动障碍[3]，同时还包括以帕金森病、亨廷顿病、功能性运动障碍等为代表</w:t>
      </w:r>
      <w:r>
        <w:rPr>
          <w:rFonts w:hint="eastAsia" w:ascii="Times New Roman" w:hAnsi="Times New Roman" w:eastAsia="宋体" w:cs="Times New Roman"/>
          <w:szCs w:val="21"/>
        </w:rPr>
        <w:t>的伴发精神行为症状的运动障碍</w:t>
      </w:r>
      <w:r>
        <w:rPr>
          <w:rFonts w:ascii="Times New Roman" w:hAnsi="Times New Roman" w:eastAsia="宋体" w:cs="Times New Roman"/>
          <w:szCs w:val="21"/>
        </w:rPr>
        <w:t>疾病[4-5]。</w:t>
      </w:r>
    </w:p>
    <w:p>
      <w:pPr>
        <w:spacing w:line="36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由于运动障碍症状与精神症状在临床表现上存在一定重叠，部分患者</w:t>
      </w:r>
      <w:r>
        <w:rPr>
          <w:rFonts w:hint="eastAsia" w:ascii="Times New Roman" w:hAnsi="Times New Roman" w:eastAsia="宋体" w:cs="Times New Roman"/>
          <w:szCs w:val="21"/>
        </w:rPr>
        <w:t>可能存在</w:t>
      </w:r>
      <w:r>
        <w:rPr>
          <w:rFonts w:ascii="Times New Roman" w:hAnsi="Times New Roman" w:eastAsia="宋体" w:cs="Times New Roman"/>
          <w:szCs w:val="21"/>
        </w:rPr>
        <w:t>未能识别</w:t>
      </w:r>
      <w:r>
        <w:rPr>
          <w:rFonts w:hint="eastAsia" w:ascii="Times New Roman" w:hAnsi="Times New Roman" w:eastAsia="宋体" w:cs="Times New Roman"/>
          <w:szCs w:val="21"/>
        </w:rPr>
        <w:t>不及时、</w:t>
      </w:r>
      <w:r>
        <w:rPr>
          <w:rFonts w:ascii="Times New Roman" w:hAnsi="Times New Roman" w:eastAsia="宋体" w:cs="Times New Roman"/>
          <w:szCs w:val="21"/>
        </w:rPr>
        <w:t>诊</w:t>
      </w:r>
      <w:r>
        <w:rPr>
          <w:rFonts w:hint="eastAsia" w:ascii="Times New Roman" w:hAnsi="Times New Roman" w:eastAsia="宋体" w:cs="Times New Roman"/>
          <w:szCs w:val="21"/>
        </w:rPr>
        <w:t>疗延迟和治疗不规范等问题</w:t>
      </w:r>
      <w:r>
        <w:rPr>
          <w:rFonts w:ascii="Times New Roman" w:hAnsi="Times New Roman" w:eastAsia="宋体" w:cs="Times New Roman"/>
          <w:szCs w:val="21"/>
        </w:rPr>
        <w:t>，影响</w:t>
      </w:r>
      <w:r>
        <w:rPr>
          <w:rFonts w:hint="eastAsia" w:ascii="Times New Roman" w:hAnsi="Times New Roman" w:eastAsia="宋体" w:cs="Times New Roman"/>
          <w:szCs w:val="21"/>
        </w:rPr>
        <w:t>患者</w:t>
      </w:r>
      <w:r>
        <w:rPr>
          <w:rFonts w:ascii="Times New Roman" w:hAnsi="Times New Roman" w:eastAsia="宋体" w:cs="Times New Roman"/>
          <w:szCs w:val="21"/>
        </w:rPr>
        <w:t>预后及生活质量。同时，精神专科医院在运动障碍疾病的系统筛查、</w:t>
      </w:r>
      <w:r>
        <w:rPr>
          <w:rFonts w:hint="eastAsia" w:ascii="Times New Roman" w:hAnsi="Times New Roman" w:eastAsia="宋体" w:cs="Times New Roman"/>
          <w:szCs w:val="21"/>
        </w:rPr>
        <w:t>规范</w:t>
      </w:r>
      <w:r>
        <w:rPr>
          <w:rFonts w:ascii="Times New Roman" w:hAnsi="Times New Roman" w:eastAsia="宋体" w:cs="Times New Roman"/>
          <w:szCs w:val="21"/>
        </w:rPr>
        <w:t>评估和综合管理方面仍</w:t>
      </w:r>
      <w:r>
        <w:rPr>
          <w:rFonts w:hint="eastAsia" w:ascii="Times New Roman" w:hAnsi="Times New Roman" w:eastAsia="宋体" w:cs="Times New Roman"/>
          <w:szCs w:val="21"/>
        </w:rPr>
        <w:t>存在</w:t>
      </w:r>
      <w:r>
        <w:rPr>
          <w:rFonts w:ascii="Times New Roman" w:hAnsi="Times New Roman" w:eastAsia="宋体" w:cs="Times New Roman"/>
          <w:szCs w:val="21"/>
        </w:rPr>
        <w:t>能力</w:t>
      </w:r>
      <w:r>
        <w:rPr>
          <w:rFonts w:hint="eastAsia" w:ascii="Times New Roman" w:hAnsi="Times New Roman" w:eastAsia="宋体" w:cs="Times New Roman"/>
          <w:szCs w:val="21"/>
        </w:rPr>
        <w:t>提升</w:t>
      </w:r>
      <w:r>
        <w:rPr>
          <w:rFonts w:ascii="Times New Roman" w:hAnsi="Times New Roman" w:eastAsia="宋体" w:cs="Times New Roman"/>
          <w:szCs w:val="21"/>
        </w:rPr>
        <w:t>需求。随着神经精神医学的发展以及患者全周期健康管理理念的推进，建立规范化、专业化的运动障碍诊疗体系</w:t>
      </w:r>
      <w:r>
        <w:rPr>
          <w:rFonts w:hint="eastAsia" w:ascii="Times New Roman" w:hAnsi="Times New Roman" w:eastAsia="宋体" w:cs="Times New Roman"/>
          <w:szCs w:val="21"/>
        </w:rPr>
        <w:t>对</w:t>
      </w:r>
      <w:r>
        <w:rPr>
          <w:rFonts w:ascii="Times New Roman" w:hAnsi="Times New Roman" w:eastAsia="宋体" w:cs="Times New Roman"/>
          <w:szCs w:val="21"/>
        </w:rPr>
        <w:t>提升精神专科医院</w:t>
      </w:r>
      <w:r>
        <w:rPr>
          <w:rFonts w:hint="eastAsia" w:ascii="Times New Roman" w:hAnsi="Times New Roman" w:eastAsia="宋体" w:cs="Times New Roman"/>
          <w:szCs w:val="21"/>
        </w:rPr>
        <w:t>综合医疗</w:t>
      </w:r>
      <w:r>
        <w:rPr>
          <w:rFonts w:ascii="Times New Roman" w:hAnsi="Times New Roman" w:eastAsia="宋体" w:cs="Times New Roman"/>
          <w:szCs w:val="21"/>
        </w:rPr>
        <w:t>服务能力</w:t>
      </w:r>
      <w:r>
        <w:rPr>
          <w:rFonts w:hint="eastAsia" w:ascii="Times New Roman" w:hAnsi="Times New Roman" w:eastAsia="宋体" w:cs="Times New Roman"/>
          <w:szCs w:val="21"/>
        </w:rPr>
        <w:t>具有重要意义</w:t>
      </w:r>
      <w:r>
        <w:rPr>
          <w:rFonts w:ascii="Times New Roman" w:hAnsi="Times New Roman" w:eastAsia="宋体" w:cs="Times New Roman"/>
          <w:szCs w:val="21"/>
        </w:rPr>
        <w:t>。精神专科医院运动障碍中心以神经精神联合诊疗为核心，以多学科协作为基础，整合精神科、神经科、康复医学、药学、护理及心理治疗等专业资源，重点围绕药源性运动障碍、运动障碍疾病伴发精神行为症状等</w:t>
      </w:r>
      <w:r>
        <w:rPr>
          <w:rFonts w:hint="eastAsia" w:ascii="Times New Roman" w:hAnsi="Times New Roman" w:eastAsia="宋体" w:cs="Times New Roman"/>
          <w:szCs w:val="21"/>
        </w:rPr>
        <w:t>疾病开展</w:t>
      </w:r>
      <w:r>
        <w:rPr>
          <w:rFonts w:ascii="Times New Roman" w:hAnsi="Times New Roman" w:eastAsia="宋体" w:cs="Times New Roman"/>
          <w:szCs w:val="21"/>
        </w:rPr>
        <w:t>规范化诊疗</w:t>
      </w:r>
      <w:r>
        <w:rPr>
          <w:rFonts w:hint="eastAsia" w:ascii="Times New Roman" w:hAnsi="Times New Roman" w:eastAsia="宋体" w:cs="Times New Roman"/>
          <w:szCs w:val="21"/>
        </w:rPr>
        <w:t>与全程管理</w:t>
      </w:r>
      <w:r>
        <w:rPr>
          <w:rFonts w:ascii="Times New Roman" w:hAnsi="Times New Roman" w:eastAsia="宋体" w:cs="Times New Roman"/>
          <w:szCs w:val="21"/>
        </w:rPr>
        <w:t>。通过建立统一的筛查评估标准、诊疗流程和随访管理体系，实现运动障碍疾病的早期</w:t>
      </w:r>
      <w:r>
        <w:rPr>
          <w:rFonts w:hint="eastAsia" w:ascii="Times New Roman" w:hAnsi="Times New Roman" w:eastAsia="宋体" w:cs="Times New Roman"/>
          <w:szCs w:val="21"/>
        </w:rPr>
        <w:t>识别</w:t>
      </w:r>
      <w:r>
        <w:rPr>
          <w:rFonts w:ascii="Times New Roman" w:hAnsi="Times New Roman" w:eastAsia="宋体" w:cs="Times New Roman"/>
          <w:szCs w:val="21"/>
        </w:rPr>
        <w:t>、精准诊断、规范治疗和长期管理，提高复杂神经精神疾病的综合诊治水平。</w:t>
      </w:r>
    </w:p>
    <w:p>
      <w:pPr>
        <w:spacing w:line="360" w:lineRule="exact"/>
        <w:ind w:firstLine="420" w:firstLineChars="200"/>
        <w:rPr>
          <w:rFonts w:ascii="Times New Roman" w:hAnsi="Times New Roman" w:eastAsia="宋体" w:cs="Times New Roman"/>
          <w:szCs w:val="21"/>
        </w:rPr>
        <w:sectPr>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szCs w:val="21"/>
        </w:rPr>
        <w:t>近年来，国家卫生主管部门及相关权威机构陆续发布政策和指南，</w:t>
      </w:r>
      <w:r>
        <w:rPr>
          <w:rFonts w:hint="eastAsia" w:ascii="Times New Roman" w:hAnsi="Times New Roman" w:eastAsia="宋体" w:cs="Times New Roman"/>
          <w:szCs w:val="21"/>
        </w:rPr>
        <w:t>推动</w:t>
      </w:r>
      <w:r>
        <w:rPr>
          <w:rFonts w:ascii="Times New Roman" w:hAnsi="Times New Roman" w:eastAsia="宋体" w:cs="Times New Roman"/>
          <w:szCs w:val="21"/>
        </w:rPr>
        <w:t>精神专科医院提升综合医疗服务能力，促进精神科与神经科</w:t>
      </w:r>
      <w:r>
        <w:rPr>
          <w:rFonts w:hint="eastAsia" w:ascii="Times New Roman" w:hAnsi="Times New Roman" w:eastAsia="宋体" w:cs="Times New Roman"/>
          <w:szCs w:val="21"/>
        </w:rPr>
        <w:t>专业</w:t>
      </w:r>
      <w:r>
        <w:rPr>
          <w:rFonts w:ascii="Times New Roman" w:hAnsi="Times New Roman" w:eastAsia="宋体" w:cs="Times New Roman"/>
          <w:szCs w:val="21"/>
        </w:rPr>
        <w:t>融合</w:t>
      </w:r>
      <w:r>
        <w:rPr>
          <w:rFonts w:hint="eastAsia" w:ascii="Times New Roman" w:hAnsi="Times New Roman" w:eastAsia="宋体" w:cs="Times New Roman"/>
          <w:szCs w:val="21"/>
        </w:rPr>
        <w:t>发展</w:t>
      </w:r>
      <w:r>
        <w:rPr>
          <w:rFonts w:ascii="Times New Roman" w:hAnsi="Times New Roman" w:eastAsia="宋体" w:cs="Times New Roman"/>
          <w:szCs w:val="21"/>
        </w:rPr>
        <w:t>[6]。基于此背景，</w:t>
      </w:r>
      <w:r>
        <w:rPr>
          <w:rFonts w:hint="eastAsia" w:ascii="Times New Roman" w:hAnsi="Times New Roman" w:eastAsia="宋体" w:cs="Times New Roman"/>
          <w:szCs w:val="21"/>
        </w:rPr>
        <w:t>并参考</w:t>
      </w:r>
      <w:r>
        <w:rPr>
          <w:rFonts w:ascii="Times New Roman" w:hAnsi="Times New Roman" w:eastAsia="宋体" w:cs="Times New Roman"/>
          <w:szCs w:val="21"/>
        </w:rPr>
        <w:t>相关运动障碍</w:t>
      </w:r>
      <w:r>
        <w:rPr>
          <w:rFonts w:hint="eastAsia" w:ascii="Times New Roman" w:hAnsi="Times New Roman" w:eastAsia="宋体" w:cs="Times New Roman"/>
          <w:szCs w:val="21"/>
        </w:rPr>
        <w:t>分级</w:t>
      </w:r>
      <w:r>
        <w:rPr>
          <w:rFonts w:ascii="Times New Roman" w:hAnsi="Times New Roman" w:eastAsia="宋体" w:cs="Times New Roman"/>
          <w:szCs w:val="21"/>
        </w:rPr>
        <w:t>管理模式</w:t>
      </w:r>
      <w:r>
        <w:rPr>
          <w:rFonts w:hint="eastAsia" w:ascii="Times New Roman" w:hAnsi="Times New Roman" w:eastAsia="宋体" w:cs="Times New Roman"/>
          <w:szCs w:val="21"/>
        </w:rPr>
        <w:t>[7]，</w:t>
      </w:r>
      <w:r>
        <w:rPr>
          <w:rFonts w:ascii="Times New Roman" w:hAnsi="Times New Roman" w:eastAsia="宋体" w:cs="Times New Roman"/>
          <w:szCs w:val="21"/>
        </w:rPr>
        <w:t>本文件制定精神专科医院运动障碍中心建设与管理的规范，旨在指导各</w:t>
      </w:r>
      <w:r>
        <w:rPr>
          <w:rFonts w:hint="eastAsia" w:ascii="Times New Roman" w:hAnsi="Times New Roman" w:eastAsia="宋体" w:cs="Times New Roman"/>
          <w:szCs w:val="21"/>
        </w:rPr>
        <w:t>级精神专科医院</w:t>
      </w:r>
      <w:r>
        <w:rPr>
          <w:rFonts w:ascii="Times New Roman" w:hAnsi="Times New Roman" w:eastAsia="宋体" w:cs="Times New Roman"/>
          <w:szCs w:val="21"/>
        </w:rPr>
        <w:t>科学、规范、有序地</w:t>
      </w:r>
      <w:r>
        <w:rPr>
          <w:rFonts w:hint="eastAsia" w:ascii="Times New Roman" w:hAnsi="Times New Roman" w:eastAsia="宋体" w:cs="Times New Roman"/>
          <w:szCs w:val="21"/>
        </w:rPr>
        <w:t>开展</w:t>
      </w:r>
      <w:r>
        <w:rPr>
          <w:rFonts w:ascii="Times New Roman" w:hAnsi="Times New Roman" w:eastAsia="宋体" w:cs="Times New Roman"/>
          <w:szCs w:val="21"/>
        </w:rPr>
        <w:t>运动障碍中心</w:t>
      </w:r>
      <w:r>
        <w:rPr>
          <w:rFonts w:hint="eastAsia" w:ascii="Times New Roman" w:hAnsi="Times New Roman" w:eastAsia="宋体" w:cs="Times New Roman"/>
          <w:szCs w:val="21"/>
        </w:rPr>
        <w:t>建设</w:t>
      </w:r>
      <w:r>
        <w:rPr>
          <w:rFonts w:ascii="Times New Roman" w:hAnsi="Times New Roman" w:eastAsia="宋体" w:cs="Times New Roman"/>
          <w:szCs w:val="21"/>
        </w:rPr>
        <w:t>，构建以神经精神联合诊疗为核心的多学科协作体系，提升精神专科医院对运动障碍疾病的管理能力，最终改善患者诊疗体验和健康结局，同时为临床研究、机制探索及专业人才培养提供重要平台。</w:t>
      </w:r>
    </w:p>
    <w:bookmarkEnd w:id="6"/>
    <w:p>
      <w:pPr>
        <w:pStyle w:val="42"/>
        <w:spacing w:before="240" w:beforeLines="100" w:after="240" w:afterLines="100"/>
        <w:rPr>
          <w:rFonts w:ascii="Times New Roman"/>
        </w:rPr>
      </w:pPr>
      <w:bookmarkStart w:id="7" w:name="_Toc459720143"/>
      <w:bookmarkStart w:id="8" w:name="_Toc510534528"/>
      <w:bookmarkStart w:id="9" w:name="_Toc509933849"/>
      <w:bookmarkStart w:id="10" w:name="_Toc459704603"/>
      <w:bookmarkStart w:id="11" w:name="_Toc459724774"/>
      <w:r>
        <w:rPr>
          <w:rFonts w:hint="eastAsia" w:ascii="Times New Roman"/>
        </w:rPr>
        <w:t>精神专科医院运动障碍中心建设与管理规范</w:t>
      </w:r>
    </w:p>
    <w:p>
      <w:pPr>
        <w:pStyle w:val="22"/>
      </w:pPr>
      <w:bookmarkStart w:id="12" w:name="_Toc237988297"/>
      <w:r>
        <w:rPr>
          <w:rFonts w:hint="eastAsia"/>
        </w:rPr>
        <w:t xml:space="preserve">1. </w:t>
      </w:r>
      <w:r>
        <w:t>范围</w:t>
      </w:r>
      <w:bookmarkEnd w:id="7"/>
      <w:bookmarkEnd w:id="8"/>
      <w:bookmarkEnd w:id="9"/>
      <w:bookmarkEnd w:id="10"/>
      <w:bookmarkEnd w:id="11"/>
      <w:bookmarkEnd w:id="12"/>
    </w:p>
    <w:p>
      <w:pPr>
        <w:pStyle w:val="23"/>
        <w:spacing w:line="360" w:lineRule="exact"/>
        <w:ind w:firstLine="420"/>
        <w:rPr>
          <w:rFonts w:ascii="Times New Roman"/>
        </w:rPr>
      </w:pPr>
      <w:r>
        <w:rPr>
          <w:rFonts w:ascii="Times New Roman"/>
        </w:rPr>
        <w:t>本文件</w:t>
      </w:r>
      <w:r>
        <w:rPr>
          <w:rFonts w:hint="eastAsia" w:ascii="Times New Roman"/>
        </w:rPr>
        <w:t>按</w:t>
      </w:r>
      <w:r>
        <w:rPr>
          <w:rFonts w:ascii="Times New Roman"/>
          <w:color w:val="000000"/>
        </w:rPr>
        <w:t>GB/T 1.1—2020《标准化工作导则 第1部分：标准化文件的结构和起草规则》</w:t>
      </w:r>
      <w:r>
        <w:rPr>
          <w:rFonts w:hint="eastAsia" w:ascii="Times New Roman"/>
          <w:color w:val="000000"/>
        </w:rPr>
        <w:t>的要求编制，</w:t>
      </w:r>
      <w:r>
        <w:rPr>
          <w:rFonts w:ascii="Times New Roman"/>
        </w:rPr>
        <w:t>规定了精神专科医院运动障碍中心</w:t>
      </w:r>
      <w:r>
        <w:rPr>
          <w:rFonts w:hint="eastAsia" w:ascii="Times New Roman"/>
        </w:rPr>
        <w:t>建设</w:t>
      </w:r>
      <w:r>
        <w:rPr>
          <w:rFonts w:ascii="Times New Roman"/>
        </w:rPr>
        <w:t>与管理的基本要求，包括</w:t>
      </w:r>
      <w:r>
        <w:rPr>
          <w:rFonts w:hint="eastAsia" w:ascii="Times New Roman"/>
        </w:rPr>
        <w:t>组织分级、</w:t>
      </w:r>
      <w:r>
        <w:rPr>
          <w:rFonts w:ascii="Times New Roman"/>
        </w:rPr>
        <w:t>设备</w:t>
      </w:r>
      <w:r>
        <w:rPr>
          <w:rFonts w:hint="eastAsia" w:ascii="Times New Roman"/>
        </w:rPr>
        <w:t>配置</w:t>
      </w:r>
      <w:r>
        <w:rPr>
          <w:rFonts w:ascii="Times New Roman"/>
        </w:rPr>
        <w:t>、人员配置、管理对象、管理及转诊流程、</w:t>
      </w:r>
      <w:r>
        <w:rPr>
          <w:rFonts w:hint="eastAsia" w:ascii="Times New Roman"/>
        </w:rPr>
        <w:t>质量</w:t>
      </w:r>
      <w:r>
        <w:rPr>
          <w:rFonts w:ascii="Times New Roman"/>
        </w:rPr>
        <w:t>管理等内容。</w:t>
      </w:r>
    </w:p>
    <w:p>
      <w:pPr>
        <w:pStyle w:val="23"/>
        <w:spacing w:line="360" w:lineRule="exact"/>
        <w:ind w:firstLine="420"/>
        <w:rPr>
          <w:rFonts w:ascii="Times New Roman"/>
        </w:rPr>
      </w:pPr>
      <w:r>
        <w:rPr>
          <w:rFonts w:ascii="Times New Roman"/>
        </w:rPr>
        <w:t>本文件适用于各级各类精神专科医疗机构</w:t>
      </w:r>
      <w:r>
        <w:rPr>
          <w:rFonts w:hint="eastAsia" w:ascii="Times New Roman"/>
        </w:rPr>
        <w:t>运动障碍中心的</w:t>
      </w:r>
      <w:r>
        <w:rPr>
          <w:rFonts w:ascii="Times New Roman"/>
        </w:rPr>
        <w:t>新建</w:t>
      </w:r>
      <w:r>
        <w:rPr>
          <w:rFonts w:hint="eastAsia" w:ascii="Times New Roman"/>
        </w:rPr>
        <w:t>、</w:t>
      </w:r>
      <w:r>
        <w:rPr>
          <w:rFonts w:ascii="Times New Roman"/>
        </w:rPr>
        <w:t>完善</w:t>
      </w:r>
      <w:r>
        <w:rPr>
          <w:rFonts w:hint="eastAsia" w:ascii="Times New Roman"/>
        </w:rPr>
        <w:t>及</w:t>
      </w:r>
      <w:r>
        <w:rPr>
          <w:rFonts w:ascii="Times New Roman"/>
        </w:rPr>
        <w:t>运行管理，也可供综合医院的精神科与神经内科协同建设运动障碍中心参考执行。</w:t>
      </w:r>
    </w:p>
    <w:p>
      <w:pPr>
        <w:pStyle w:val="22"/>
      </w:pPr>
      <w:bookmarkStart w:id="13" w:name="_Toc459704604"/>
      <w:bookmarkStart w:id="14" w:name="_Toc509933850"/>
      <w:bookmarkStart w:id="15" w:name="_Toc237988298"/>
      <w:bookmarkStart w:id="16" w:name="_Toc459720144"/>
      <w:bookmarkStart w:id="17" w:name="_Toc459724775"/>
      <w:bookmarkStart w:id="18" w:name="_Toc510534529"/>
      <w:r>
        <w:rPr>
          <w:rFonts w:hint="eastAsia"/>
        </w:rPr>
        <w:t xml:space="preserve">2. </w:t>
      </w:r>
      <w:r>
        <w:t>规范性引用文件</w:t>
      </w:r>
      <w:bookmarkEnd w:id="13"/>
      <w:bookmarkEnd w:id="14"/>
      <w:bookmarkEnd w:id="15"/>
      <w:bookmarkEnd w:id="16"/>
      <w:bookmarkEnd w:id="17"/>
      <w:bookmarkEnd w:id="18"/>
    </w:p>
    <w:p>
      <w:pPr>
        <w:pStyle w:val="23"/>
        <w:tabs>
          <w:tab w:val="center" w:pos="4201"/>
          <w:tab w:val="right" w:leader="dot" w:pos="9298"/>
        </w:tabs>
        <w:spacing w:line="360" w:lineRule="exact"/>
        <w:ind w:firstLine="420"/>
        <w:rPr>
          <w:rFonts w:hint="eastAsia" w:hAnsi="宋体"/>
          <w:color w:val="000000"/>
        </w:rPr>
      </w:pPr>
      <w:bookmarkStart w:id="19" w:name="_Toc459704605"/>
      <w:bookmarkEnd w:id="19"/>
      <w:bookmarkStart w:id="20" w:name="_Toc459724776"/>
      <w:bookmarkStart w:id="21" w:name="_Toc459720145"/>
      <w:r>
        <w:rPr>
          <w:rFonts w:hint="eastAsia" w:hAnsi="宋体"/>
          <w:color w:val="000000"/>
        </w:rPr>
        <w:t>下列文件中的内容通过规范性引用构成本文件必不可少的条款。其中，凡是注日期的引用文件，仅所注日期对应的版本适用于本文件；凡是不注日期的引用文件，其最新版本（包括所有的修改单）适用于本文件。</w:t>
      </w:r>
    </w:p>
    <w:p>
      <w:pPr>
        <w:pStyle w:val="23"/>
        <w:tabs>
          <w:tab w:val="center" w:pos="4201"/>
          <w:tab w:val="right" w:leader="dot" w:pos="9298"/>
        </w:tabs>
        <w:spacing w:line="360" w:lineRule="exact"/>
        <w:ind w:firstLine="409" w:firstLineChars="195"/>
        <w:rPr>
          <w:rFonts w:hint="eastAsia" w:hAnsi="宋体"/>
          <w:color w:val="000000"/>
        </w:rPr>
      </w:pPr>
      <w:r>
        <w:rPr>
          <w:rFonts w:hint="eastAsia" w:hAnsi="宋体"/>
          <w:color w:val="000000"/>
        </w:rPr>
        <w:t>GB/T 1.1—2020 《标准化工作导则 第1部分：标准化文件的结构和起草规则》</w:t>
      </w:r>
    </w:p>
    <w:p>
      <w:pPr>
        <w:pStyle w:val="23"/>
        <w:tabs>
          <w:tab w:val="center" w:pos="4201"/>
          <w:tab w:val="right" w:leader="dot" w:pos="9298"/>
        </w:tabs>
        <w:spacing w:line="360" w:lineRule="exact"/>
        <w:ind w:firstLine="420"/>
        <w:rPr>
          <w:rFonts w:ascii="Times New Roman"/>
          <w:color w:val="000000"/>
        </w:rPr>
      </w:pPr>
      <w:r>
        <w:rPr>
          <w:rFonts w:ascii="Times New Roman"/>
          <w:color w:val="000000"/>
        </w:rPr>
        <w:t>《国家精神医学中心设置标准》（国家卫生健康委员会，2023年）</w:t>
      </w:r>
    </w:p>
    <w:p>
      <w:pPr>
        <w:pStyle w:val="23"/>
        <w:tabs>
          <w:tab w:val="center" w:pos="4201"/>
          <w:tab w:val="right" w:leader="dot" w:pos="9298"/>
        </w:tabs>
        <w:spacing w:line="360" w:lineRule="exact"/>
        <w:ind w:firstLine="420"/>
        <w:rPr>
          <w:rFonts w:ascii="Times New Roman"/>
          <w:color w:val="000000"/>
        </w:rPr>
      </w:pPr>
      <w:r>
        <w:rPr>
          <w:rFonts w:ascii="Times New Roman"/>
          <w:color w:val="000000"/>
        </w:rPr>
        <w:t>《精神专科医院建设标准》（国家发展改革委，2016年）</w:t>
      </w:r>
    </w:p>
    <w:p>
      <w:pPr>
        <w:pStyle w:val="22"/>
      </w:pPr>
      <w:bookmarkStart w:id="22" w:name="_Toc510534530"/>
      <w:bookmarkStart w:id="23" w:name="_Toc237988299"/>
      <w:bookmarkStart w:id="24" w:name="_Toc509933851"/>
      <w:bookmarkStart w:id="25" w:name="_Toc436205037"/>
      <w:r>
        <w:rPr>
          <w:rFonts w:hint="eastAsia"/>
        </w:rPr>
        <w:t>3. 术语和定义</w:t>
      </w:r>
      <w:bookmarkEnd w:id="22"/>
      <w:bookmarkEnd w:id="23"/>
      <w:bookmarkEnd w:id="24"/>
      <w:bookmarkEnd w:id="25"/>
    </w:p>
    <w:p>
      <w:pPr>
        <w:pStyle w:val="23"/>
        <w:spacing w:line="360" w:lineRule="exact"/>
        <w:ind w:firstLine="420"/>
      </w:pPr>
      <w:r>
        <w:rPr>
          <w:rFonts w:hint="eastAsia"/>
        </w:rPr>
        <w:t>下列术语和定义适用于本文件。</w:t>
      </w:r>
    </w:p>
    <w:p>
      <w:pPr>
        <w:pStyle w:val="25"/>
        <w:tabs>
          <w:tab w:val="left" w:pos="478"/>
        </w:tabs>
        <w:spacing w:before="120" w:beforeLines="50" w:after="120" w:afterLines="50"/>
        <w:rPr>
          <w:rFonts w:hint="eastAsia"/>
        </w:rPr>
      </w:pPr>
      <w:bookmarkStart w:id="26" w:name="_Toc227265964"/>
      <w:r>
        <w:rPr>
          <w:rFonts w:hint="eastAsia"/>
        </w:rPr>
        <w:t xml:space="preserve"> </w:t>
      </w:r>
      <w:bookmarkStart w:id="27" w:name="_Toc237988300"/>
      <w:r>
        <w:rPr>
          <w:rFonts w:hint="eastAsia"/>
        </w:rPr>
        <w:t>精神专科医院 （psychiatric specialty hospital）</w:t>
      </w:r>
      <w:bookmarkEnd w:id="26"/>
      <w:bookmarkEnd w:id="27"/>
    </w:p>
    <w:p>
      <w:pPr>
        <w:pStyle w:val="23"/>
        <w:spacing w:line="360" w:lineRule="exact"/>
        <w:ind w:firstLine="420"/>
      </w:pPr>
      <w:r>
        <w:rPr>
          <w:rFonts w:hint="eastAsia"/>
        </w:rPr>
        <w:t>根据</w:t>
      </w:r>
      <w:r>
        <w:rPr>
          <w:rFonts w:ascii="Times New Roman"/>
          <w:color w:val="000000"/>
        </w:rPr>
        <w:t>《国家精神医学中心设置标准》</w:t>
      </w:r>
      <w:r>
        <w:rPr>
          <w:rFonts w:hint="eastAsia" w:ascii="Times New Roman"/>
          <w:color w:val="000000"/>
        </w:rPr>
        <w:t>和</w:t>
      </w:r>
      <w:r>
        <w:rPr>
          <w:rFonts w:ascii="Times New Roman"/>
          <w:color w:val="000000"/>
        </w:rPr>
        <w:t>《精神专科医院建设标准》</w:t>
      </w:r>
      <w:r>
        <w:rPr>
          <w:rFonts w:hint="eastAsia" w:ascii="Times New Roman"/>
          <w:color w:val="000000"/>
        </w:rPr>
        <w:t>要求建设，</w:t>
      </w:r>
      <w:r>
        <w:rPr>
          <w:rFonts w:hint="eastAsia"/>
        </w:rPr>
        <w:t>以精神科医疗服务为主的专科医疗机构。</w:t>
      </w:r>
      <w:r>
        <w:t>主要承担各类精神障碍患者的诊疗、康复、预防保健、科研及教学等工作。</w:t>
      </w:r>
    </w:p>
    <w:p>
      <w:pPr>
        <w:pStyle w:val="23"/>
        <w:spacing w:line="360" w:lineRule="exact"/>
        <w:ind w:firstLine="420"/>
      </w:pPr>
      <w:r>
        <w:rPr>
          <w:rFonts w:hint="eastAsia"/>
        </w:rPr>
        <w:t>注：通常为区域级或国家级的精神病专科医院，</w:t>
      </w:r>
      <w:r>
        <w:t>具备较完善的精神障碍诊疗能力，并承担区域精神卫生服务体系建设任务</w:t>
      </w:r>
      <w:r>
        <w:rPr>
          <w:rFonts w:hint="eastAsia"/>
        </w:rPr>
        <w:t>[8]。</w:t>
      </w:r>
    </w:p>
    <w:p>
      <w:pPr>
        <w:pStyle w:val="25"/>
        <w:spacing w:before="120" w:beforeLines="50" w:after="120" w:afterLines="50"/>
        <w:rPr>
          <w:rFonts w:hint="eastAsia"/>
        </w:rPr>
      </w:pPr>
      <w:bookmarkStart w:id="28" w:name="_Toc227265965"/>
      <w:r>
        <w:rPr>
          <w:rStyle w:val="24"/>
          <w:rFonts w:hint="eastAsia"/>
        </w:rPr>
        <w:t xml:space="preserve"> </w:t>
      </w:r>
      <w:bookmarkStart w:id="29" w:name="_Toc237988301"/>
      <w:r>
        <w:rPr>
          <w:rStyle w:val="24"/>
          <w:rFonts w:hint="eastAsia"/>
        </w:rPr>
        <w:t>运动障碍中心（movement disorders center）</w:t>
      </w:r>
      <w:bookmarkEnd w:id="28"/>
      <w:bookmarkEnd w:id="29"/>
    </w:p>
    <w:p>
      <w:pPr>
        <w:pStyle w:val="23"/>
        <w:spacing w:line="360" w:lineRule="exact"/>
        <w:ind w:firstLine="420"/>
      </w:pPr>
      <w:r>
        <w:rPr>
          <w:rFonts w:hint="eastAsia"/>
        </w:rPr>
        <w:t>医院内设置的以运动障碍性疾病筛查、评估、诊断、质量与长期管理为主要功能的专业医疗单元。</w:t>
      </w:r>
    </w:p>
    <w:p>
      <w:pPr>
        <w:pStyle w:val="23"/>
        <w:spacing w:line="360" w:lineRule="exact"/>
        <w:ind w:firstLine="420"/>
      </w:pPr>
      <w:r>
        <w:rPr>
          <w:rFonts w:hint="eastAsia"/>
        </w:rPr>
        <w:t>注：</w:t>
      </w:r>
      <w:r>
        <w:t>精神专科医院运动障碍中心重点关注药源性运动障碍的早期识别、规范诊疗和风险管理，同时开展原发性运动障碍疾病及伴精神行为症状运动障碍疾病的鉴别诊断和协同管理。通过神经精神联合诊疗模式，为患者提供运动症状、精神症状及功能状态的综合评估和干预。</w:t>
      </w:r>
    </w:p>
    <w:p>
      <w:pPr>
        <w:pStyle w:val="25"/>
        <w:spacing w:before="120" w:beforeLines="50" w:after="120" w:afterLines="50"/>
        <w:rPr>
          <w:rFonts w:hint="eastAsia"/>
        </w:rPr>
      </w:pPr>
      <w:bookmarkStart w:id="30" w:name="_Toc227265966"/>
      <w:r>
        <w:rPr>
          <w:rStyle w:val="24"/>
          <w:rFonts w:hint="eastAsia"/>
        </w:rPr>
        <w:t xml:space="preserve"> </w:t>
      </w:r>
      <w:bookmarkStart w:id="31" w:name="_Toc237988302"/>
      <w:r>
        <w:rPr>
          <w:rStyle w:val="24"/>
          <w:rFonts w:hint="eastAsia"/>
        </w:rPr>
        <w:t>药源性运动障碍（drug-induced movement disorders）</w:t>
      </w:r>
      <w:bookmarkEnd w:id="30"/>
      <w:bookmarkEnd w:id="31"/>
    </w:p>
    <w:p>
      <w:pPr>
        <w:pStyle w:val="23"/>
        <w:spacing w:line="360" w:lineRule="exact"/>
        <w:ind w:firstLine="420"/>
      </w:pPr>
      <w:r>
        <w:rPr>
          <w:rFonts w:hint="eastAsia"/>
        </w:rPr>
        <w:t>药源性运动障碍是由</w:t>
      </w:r>
      <w:r>
        <w:t>指由药物因素导致的异常不自主运动或运动控制障碍综合征，主要与多巴胺受体阻断及相关神经递质功能异常有关</w:t>
      </w:r>
      <w:r>
        <w:rPr>
          <w:rFonts w:hint="eastAsia"/>
        </w:rPr>
        <w:t>。</w:t>
      </w:r>
    </w:p>
    <w:p>
      <w:pPr>
        <w:pStyle w:val="23"/>
        <w:spacing w:line="360" w:lineRule="exact"/>
        <w:ind w:firstLine="420"/>
      </w:pPr>
      <w:r>
        <w:rPr>
          <w:rFonts w:hint="eastAsia"/>
        </w:rPr>
        <w:t>注：常见于抗精神病药物及其他影响中枢神经系统功能的药物治疗过程中，临床表现为</w:t>
      </w:r>
      <w:r>
        <w:t>急性肌张力障碍、静坐不能、药源性帕金森综合征及迟发性运动障碍等</w:t>
      </w:r>
      <w:r>
        <w:rPr>
          <w:rFonts w:hint="eastAsia"/>
        </w:rPr>
        <w:t>[3, 10]。</w:t>
      </w:r>
    </w:p>
    <w:p>
      <w:pPr>
        <w:pStyle w:val="25"/>
        <w:spacing w:before="120" w:beforeLines="50" w:after="120" w:afterLines="50"/>
        <w:rPr>
          <w:rFonts w:hint="eastAsia"/>
        </w:rPr>
      </w:pPr>
      <w:bookmarkStart w:id="32" w:name="_Toc227265967"/>
      <w:r>
        <w:rPr>
          <w:rStyle w:val="24"/>
          <w:rFonts w:hint="eastAsia"/>
        </w:rPr>
        <w:t xml:space="preserve"> </w:t>
      </w:r>
      <w:bookmarkStart w:id="33" w:name="_Toc237988303"/>
      <w:r>
        <w:rPr>
          <w:rStyle w:val="24"/>
          <w:rFonts w:hint="eastAsia"/>
        </w:rPr>
        <w:t>运动障碍疾病伴精神症状（primary movement disorders with psychiatric comorbidities）</w:t>
      </w:r>
      <w:bookmarkEnd w:id="32"/>
      <w:bookmarkEnd w:id="33"/>
    </w:p>
    <w:p>
      <w:pPr>
        <w:pStyle w:val="23"/>
        <w:spacing w:line="360" w:lineRule="exact"/>
        <w:ind w:firstLine="420"/>
      </w:pPr>
      <w:r>
        <w:rPr>
          <w:rFonts w:hint="eastAsia"/>
        </w:rPr>
        <w:t>指以神经系统运动障碍为主要表现的原发性或继发性疾病，在其发生发展过程中伴随出现的情绪、认知、精神或行为异常等精神症状[4-5]。</w:t>
      </w:r>
    </w:p>
    <w:p>
      <w:pPr>
        <w:pStyle w:val="23"/>
        <w:spacing w:line="360" w:lineRule="exact"/>
        <w:ind w:firstLine="420"/>
      </w:pPr>
      <w:r>
        <w:rPr>
          <w:rFonts w:hint="eastAsia"/>
        </w:rPr>
        <w:t>注：常见疾病包括帕金森病伴发抑郁、焦虑、淡漠及精神病性症状，亨廷顿病伴发情绪障碍及认知功能减退，功能性运动障碍等。精神症状可</w:t>
      </w:r>
      <w:r>
        <w:t>精神症状可发生于运动症状之前、同时或之后</w:t>
      </w:r>
      <w:r>
        <w:rPr>
          <w:rFonts w:hint="eastAsia"/>
        </w:rPr>
        <w:t>。</w:t>
      </w:r>
    </w:p>
    <w:p>
      <w:pPr>
        <w:pStyle w:val="25"/>
        <w:spacing w:before="120" w:beforeLines="50" w:after="120" w:afterLines="50"/>
        <w:rPr>
          <w:rStyle w:val="24"/>
          <w:rFonts w:hint="eastAsia"/>
        </w:rPr>
      </w:pPr>
      <w:bookmarkStart w:id="34" w:name="_Toc227265968"/>
      <w:r>
        <w:rPr>
          <w:rStyle w:val="24"/>
          <w:rFonts w:hint="eastAsia"/>
        </w:rPr>
        <w:t xml:space="preserve"> </w:t>
      </w:r>
      <w:bookmarkStart w:id="35" w:name="_Toc237988304"/>
      <w:r>
        <w:rPr>
          <w:rStyle w:val="24"/>
          <w:rFonts w:hint="eastAsia"/>
        </w:rPr>
        <w:t>神经精神联合诊疗模式 （integrated neuropsychiatric care model）</w:t>
      </w:r>
      <w:bookmarkEnd w:id="34"/>
      <w:bookmarkEnd w:id="35"/>
    </w:p>
    <w:p>
      <w:pPr>
        <w:pStyle w:val="23"/>
        <w:spacing w:line="360" w:lineRule="exact"/>
        <w:ind w:firstLine="420"/>
      </w:pPr>
      <w:r>
        <w:t>由精神科与神经内科专业人员共同参与，针对神经精神交叉疾病患者开展联合评估、诊断、治疗及管理的多学科协作模式</w:t>
      </w:r>
      <w:r>
        <w:rPr>
          <w:rFonts w:hint="eastAsia"/>
        </w:rPr>
        <w:t>[9]。</w:t>
      </w:r>
    </w:p>
    <w:p>
      <w:pPr>
        <w:pStyle w:val="23"/>
        <w:spacing w:line="360" w:lineRule="exact"/>
        <w:ind w:firstLine="420"/>
      </w:pPr>
      <w:r>
        <w:rPr>
          <w:rFonts w:hint="eastAsia"/>
        </w:rPr>
        <w:t>注：</w:t>
      </w:r>
      <w:r>
        <w:t>该模式通过精神医学与神经医学专业优势互补，为患者提供包括疾病评估、药物优化、康复指导及心理支持在内的综合诊疗服务，提高诊疗质量和患者满意度。</w:t>
      </w:r>
    </w:p>
    <w:p>
      <w:pPr>
        <w:pStyle w:val="22"/>
      </w:pPr>
      <w:bookmarkStart w:id="36" w:name="_Toc237988305"/>
      <w:r>
        <w:rPr>
          <w:rFonts w:hint="eastAsia"/>
        </w:rPr>
        <w:t>4. 组织与管理</w:t>
      </w:r>
      <w:bookmarkEnd w:id="36"/>
    </w:p>
    <w:p>
      <w:pPr>
        <w:pStyle w:val="25"/>
        <w:numPr>
          <w:ilvl w:val="2"/>
          <w:numId w:val="5"/>
        </w:numPr>
        <w:spacing w:before="120" w:beforeLines="50" w:after="120" w:afterLines="50"/>
        <w:ind w:left="567"/>
        <w:rPr>
          <w:rFonts w:hint="eastAsia"/>
        </w:rPr>
      </w:pPr>
      <w:r>
        <w:rPr>
          <w:rFonts w:hint="eastAsia"/>
        </w:rPr>
        <w:t xml:space="preserve"> </w:t>
      </w:r>
      <w:bookmarkStart w:id="37" w:name="_Toc237988306"/>
      <w:r>
        <w:rPr>
          <w:rFonts w:hint="eastAsia"/>
        </w:rPr>
        <w:t>运动障碍中心分级设置及总体职责</w:t>
      </w:r>
      <w:bookmarkEnd w:id="37"/>
    </w:p>
    <w:p>
      <w:pPr>
        <w:pStyle w:val="23"/>
        <w:spacing w:line="360" w:lineRule="exact"/>
        <w:ind w:firstLine="420"/>
        <w:rPr>
          <w:rFonts w:hint="eastAsia" w:hAnsi="宋体"/>
          <w:color w:val="000000" w:themeColor="text1"/>
          <w:szCs w:val="22"/>
          <w14:textFill>
            <w14:solidFill>
              <w14:schemeClr w14:val="tx1"/>
            </w14:solidFill>
          </w14:textFill>
        </w:rPr>
      </w:pPr>
      <w:r>
        <w:rPr>
          <w:rFonts w:hAnsi="宋体"/>
          <w:color w:val="000000" w:themeColor="text1"/>
          <w:szCs w:val="22"/>
          <w14:textFill>
            <w14:solidFill>
              <w14:schemeClr w14:val="tx1"/>
            </w14:solidFill>
          </w14:textFill>
        </w:rPr>
        <w:t>精神专科医院</w:t>
      </w:r>
      <w:r>
        <w:rPr>
          <w:rFonts w:hint="eastAsia" w:hAnsi="宋体"/>
          <w:color w:val="000000" w:themeColor="text1"/>
          <w:szCs w:val="22"/>
          <w14:textFill>
            <w14:solidFill>
              <w14:schemeClr w14:val="tx1"/>
            </w14:solidFill>
          </w14:textFill>
        </w:rPr>
        <w:t>运动障碍中心应</w:t>
      </w:r>
      <w:r>
        <w:rPr>
          <w:rFonts w:hAnsi="宋体"/>
          <w:color w:val="000000" w:themeColor="text1"/>
          <w:szCs w:val="22"/>
          <w14:textFill>
            <w14:solidFill>
              <w14:schemeClr w14:val="tx1"/>
            </w14:solidFill>
          </w14:textFill>
        </w:rPr>
        <w:t>依托精神科与神经内科协同建设，</w:t>
      </w:r>
      <w:r>
        <w:rPr>
          <w:rFonts w:hint="eastAsia" w:hAnsi="宋体"/>
          <w:color w:val="000000" w:themeColor="text1"/>
          <w:szCs w:val="22"/>
          <w14:textFill>
            <w14:solidFill>
              <w14:schemeClr w14:val="tx1"/>
            </w14:solidFill>
          </w14:textFill>
        </w:rPr>
        <w:t>建立以“神经精神</w:t>
      </w:r>
      <w:r>
        <w:rPr>
          <w:rFonts w:hAnsi="宋体"/>
          <w:color w:val="000000" w:themeColor="text1"/>
          <w:szCs w:val="22"/>
          <w14:textFill>
            <w14:solidFill>
              <w14:schemeClr w14:val="tx1"/>
            </w14:solidFill>
          </w14:textFill>
        </w:rPr>
        <w:t>联合</w:t>
      </w:r>
      <w:r>
        <w:rPr>
          <w:rFonts w:hint="eastAsia" w:hAnsi="宋体"/>
          <w:color w:val="000000" w:themeColor="text1"/>
          <w:szCs w:val="22"/>
          <w14:textFill>
            <w14:solidFill>
              <w14:schemeClr w14:val="tx1"/>
            </w14:solidFill>
          </w14:textFill>
        </w:rPr>
        <w:t>诊疗”为核心的运行模式。根据医疗机构</w:t>
      </w:r>
      <w:r>
        <w:rPr>
          <w:rFonts w:hAnsi="宋体"/>
          <w:color w:val="000000" w:themeColor="text1"/>
          <w:szCs w:val="22"/>
          <w14:textFill>
            <w14:solidFill>
              <w14:schemeClr w14:val="tx1"/>
            </w14:solidFill>
          </w14:textFill>
        </w:rPr>
        <w:t>临床诊治能力、人员</w:t>
      </w:r>
      <w:r>
        <w:rPr>
          <w:rFonts w:hint="eastAsia" w:hAnsi="宋体"/>
          <w:color w:val="000000" w:themeColor="text1"/>
          <w:szCs w:val="22"/>
          <w14:textFill>
            <w14:solidFill>
              <w14:schemeClr w14:val="tx1"/>
            </w14:solidFill>
          </w14:textFill>
        </w:rPr>
        <w:t>设施</w:t>
      </w:r>
      <w:r>
        <w:rPr>
          <w:rFonts w:hAnsi="宋体"/>
          <w:color w:val="000000" w:themeColor="text1"/>
          <w:szCs w:val="22"/>
          <w14:textFill>
            <w14:solidFill>
              <w14:schemeClr w14:val="tx1"/>
            </w14:solidFill>
          </w14:textFill>
        </w:rPr>
        <w:t>配备</w:t>
      </w:r>
      <w:r>
        <w:rPr>
          <w:rFonts w:hint="eastAsia" w:hAnsi="宋体"/>
          <w:color w:val="000000" w:themeColor="text1"/>
          <w:szCs w:val="22"/>
          <w14:textFill>
            <w14:solidFill>
              <w14:schemeClr w14:val="tx1"/>
            </w14:solidFill>
          </w14:textFill>
        </w:rPr>
        <w:t>、技术水平及区域辐射能力</w:t>
      </w:r>
      <w:r>
        <w:rPr>
          <w:rFonts w:hAnsi="宋体"/>
          <w:color w:val="000000" w:themeColor="text1"/>
          <w:szCs w:val="22"/>
          <w14:textFill>
            <w14:solidFill>
              <w14:schemeClr w14:val="tx1"/>
            </w14:solidFill>
          </w14:textFill>
        </w:rPr>
        <w:t>等因素，</w:t>
      </w:r>
      <w:r>
        <w:rPr>
          <w:rFonts w:hint="eastAsia" w:hAnsi="宋体"/>
          <w:color w:val="000000" w:themeColor="text1"/>
          <w:szCs w:val="22"/>
          <w14:textFill>
            <w14:solidFill>
              <w14:schemeClr w14:val="tx1"/>
            </w14:solidFill>
          </w14:textFill>
        </w:rPr>
        <w:t>实施三级全程化分级</w:t>
      </w:r>
      <w:r>
        <w:rPr>
          <w:rFonts w:hAnsi="宋体"/>
          <w:color w:val="000000" w:themeColor="text1"/>
          <w:szCs w:val="22"/>
          <w14:textFill>
            <w14:solidFill>
              <w14:schemeClr w14:val="tx1"/>
            </w14:solidFill>
          </w14:textFill>
        </w:rPr>
        <w:t>管理。</w:t>
      </w:r>
      <w:r>
        <w:rPr>
          <w:rFonts w:hint="eastAsia" w:hAnsi="宋体"/>
          <w:color w:val="000000" w:themeColor="text1"/>
          <w:szCs w:val="22"/>
          <w14:textFill>
            <w14:solidFill>
              <w14:schemeClr w14:val="tx1"/>
            </w14:solidFill>
          </w14:textFill>
        </w:rPr>
        <w:t>精神专科医院</w:t>
      </w:r>
      <w:r>
        <w:rPr>
          <w:rFonts w:hAnsi="宋体"/>
          <w:color w:val="000000" w:themeColor="text1"/>
          <w:szCs w:val="22"/>
          <w14:textFill>
            <w14:solidFill>
              <w14:schemeClr w14:val="tx1"/>
            </w14:solidFill>
          </w14:textFill>
        </w:rPr>
        <w:t>运动障碍</w:t>
      </w:r>
      <w:r>
        <w:rPr>
          <w:rFonts w:hint="eastAsia" w:hAnsi="宋体"/>
          <w:color w:val="000000" w:themeColor="text1"/>
          <w:szCs w:val="22"/>
          <w14:textFill>
            <w14:solidFill>
              <w14:schemeClr w14:val="tx1"/>
            </w14:solidFill>
          </w14:textFill>
        </w:rPr>
        <w:t>中心包括</w:t>
      </w:r>
      <w:r>
        <w:rPr>
          <w:rFonts w:hAnsi="宋体"/>
          <w:color w:val="000000" w:themeColor="text1"/>
          <w:szCs w:val="22"/>
          <w14:textFill>
            <w14:solidFill>
              <w14:schemeClr w14:val="tx1"/>
            </w14:solidFill>
          </w14:textFill>
        </w:rPr>
        <w:t>初级中心、标准中心和高级中心</w:t>
      </w:r>
      <w:r>
        <w:rPr>
          <w:rFonts w:hint="eastAsia" w:hAnsi="宋体"/>
          <w:color w:val="000000" w:themeColor="text1"/>
          <w:szCs w:val="22"/>
          <w14:textFill>
            <w14:solidFill>
              <w14:schemeClr w14:val="tx1"/>
            </w14:solidFill>
          </w14:textFill>
        </w:rPr>
        <w:t>，</w:t>
      </w:r>
      <w:r>
        <w:rPr>
          <w:rFonts w:hAnsi="宋体"/>
          <w:color w:val="000000" w:themeColor="text1"/>
          <w:szCs w:val="22"/>
          <w14:textFill>
            <w14:solidFill>
              <w14:schemeClr w14:val="tx1"/>
            </w14:solidFill>
          </w14:textFill>
        </w:rPr>
        <w:t>各级中心职责明确、相互协作，共同承担运动障碍疾病的筛查、诊断、治疗、随访、转诊及培训等工作，形成“基层筛查—规范诊疗—疑难指导—长期管理”的连续性医疗服务体系。</w:t>
      </w:r>
    </w:p>
    <w:p>
      <w:pPr>
        <w:pStyle w:val="25"/>
        <w:numPr>
          <w:ilvl w:val="0"/>
          <w:numId w:val="0"/>
        </w:numPr>
        <w:spacing w:before="120" w:beforeLines="50" w:after="120" w:afterLines="50"/>
        <w:ind w:left="567"/>
        <w:rPr>
          <w:rFonts w:hint="eastAsia"/>
        </w:rPr>
      </w:pPr>
      <w:bookmarkStart w:id="38" w:name="_Toc237988307"/>
      <w:r>
        <w:rPr>
          <w:rFonts w:hint="eastAsia"/>
        </w:rPr>
        <w:t>4.2</w:t>
      </w:r>
      <w:r>
        <w:rPr/>
        <w:sym w:font="Wingdings 2" w:char="F0A3"/>
      </w:r>
      <w:r>
        <w:rPr>
          <w:rFonts w:hint="eastAsia"/>
        </w:rPr>
        <w:t xml:space="preserve"> 初级中心</w:t>
      </w:r>
      <w:bookmarkEnd w:id="38"/>
    </w:p>
    <w:p>
      <w:pPr>
        <w:pStyle w:val="23"/>
        <w:spacing w:line="360" w:lineRule="exact"/>
        <w:ind w:firstLine="420"/>
        <w:rPr>
          <w:rFonts w:hint="eastAsia" w:hAnsi="宋体"/>
          <w:color w:val="000000" w:themeColor="text1"/>
          <w:szCs w:val="22"/>
          <w14:textFill>
            <w14:solidFill>
              <w14:schemeClr w14:val="tx1"/>
            </w14:solidFill>
          </w14:textFill>
        </w:rPr>
      </w:pPr>
      <w:r>
        <w:rPr>
          <w:rFonts w:hAnsi="宋体"/>
          <w:color w:val="000000" w:themeColor="text1"/>
          <w:szCs w:val="22"/>
          <w14:textFill>
            <w14:solidFill>
              <w14:schemeClr w14:val="tx1"/>
            </w14:solidFill>
          </w14:textFill>
        </w:rPr>
        <w:t>初级中心主要由</w:t>
      </w:r>
      <w:r>
        <w:rPr>
          <w:rFonts w:hint="eastAsia" w:hAnsi="宋体"/>
          <w:color w:val="000000" w:themeColor="text1"/>
          <w:szCs w:val="22"/>
          <w14:textFill>
            <w14:solidFill>
              <w14:schemeClr w14:val="tx1"/>
            </w14:solidFill>
          </w14:textFill>
        </w:rPr>
        <w:t>区域性一、</w:t>
      </w:r>
      <w:r>
        <w:rPr>
          <w:rFonts w:hAnsi="宋体"/>
          <w:color w:val="000000" w:themeColor="text1"/>
          <w:szCs w:val="22"/>
          <w14:textFill>
            <w14:solidFill>
              <w14:schemeClr w14:val="tx1"/>
            </w14:solidFill>
          </w14:textFill>
        </w:rPr>
        <w:t>二级</w:t>
      </w:r>
      <w:r>
        <w:rPr>
          <w:rFonts w:hint="eastAsia" w:hAnsi="宋体"/>
          <w:color w:val="000000" w:themeColor="text1"/>
          <w:szCs w:val="22"/>
          <w14:textFill>
            <w14:solidFill>
              <w14:schemeClr w14:val="tx1"/>
            </w14:solidFill>
          </w14:textFill>
        </w:rPr>
        <w:t>精神专科</w:t>
      </w:r>
      <w:r>
        <w:rPr>
          <w:rFonts w:hAnsi="宋体"/>
          <w:color w:val="000000" w:themeColor="text1"/>
          <w:szCs w:val="22"/>
          <w14:textFill>
            <w14:solidFill>
              <w14:schemeClr w14:val="tx1"/>
            </w14:solidFill>
          </w14:textFill>
        </w:rPr>
        <w:t>医院构成</w:t>
      </w:r>
      <w:r>
        <w:rPr>
          <w:rFonts w:hint="eastAsia" w:hAnsi="宋体"/>
          <w:color w:val="000000" w:themeColor="text1"/>
          <w:szCs w:val="22"/>
          <w14:textFill>
            <w14:solidFill>
              <w14:schemeClr w14:val="tx1"/>
            </w14:solidFill>
          </w14:textFill>
        </w:rPr>
        <w:t>，</w:t>
      </w:r>
      <w:r>
        <w:rPr>
          <w:rFonts w:hAnsi="宋体"/>
          <w:color w:val="000000" w:themeColor="text1"/>
          <w:szCs w:val="22"/>
          <w14:textFill>
            <w14:solidFill>
              <w14:schemeClr w14:val="tx1"/>
            </w14:solidFill>
          </w14:textFill>
        </w:rPr>
        <w:t>主要承担运动障碍疾病的早期筛查、风险识别、基础管理和患者长期随访工作。重点面向长期接受抗精神病药物治疗患者及其他运动障碍高风险人群，开展药源性运动障碍的早期识别和规范化管理，并与标准中心、高级中心建立双向转诊机制。</w:t>
      </w:r>
    </w:p>
    <w:p>
      <w:pPr>
        <w:pStyle w:val="23"/>
        <w:tabs>
          <w:tab w:val="center" w:pos="4201"/>
          <w:tab w:val="right" w:leader="dot" w:pos="9298"/>
        </w:tabs>
        <w:spacing w:line="360" w:lineRule="exact"/>
        <w:ind w:firstLine="420"/>
        <w:rPr>
          <w:rFonts w:hint="eastAsia" w:asciiTheme="minorEastAsia" w:hAnsiTheme="minorEastAsia" w:eastAsiaTheme="minorEastAsia"/>
          <w:color w:val="000000"/>
        </w:rPr>
      </w:pPr>
      <w:r>
        <w:rPr>
          <w:rFonts w:hint="eastAsia" w:asciiTheme="minorEastAsia" w:hAnsiTheme="minorEastAsia" w:eastAsiaTheme="minorEastAsia"/>
          <w:color w:val="000000"/>
        </w:rPr>
        <w:t>a).</w:t>
      </w:r>
      <w:r>
        <w:rPr>
          <w:rFonts w:asciiTheme="minorEastAsia" w:hAnsiTheme="minorEastAsia" w:eastAsiaTheme="minorEastAsia"/>
          <w:color w:val="000000"/>
        </w:rPr>
        <w:t>一般设施</w:t>
      </w:r>
      <w:r>
        <w:rPr>
          <w:rFonts w:hint="eastAsia" w:asciiTheme="minorEastAsia" w:hAnsiTheme="minorEastAsia" w:eastAsiaTheme="minorEastAsia"/>
          <w:color w:val="000000"/>
        </w:rPr>
        <w:t>：</w:t>
      </w:r>
      <w:r>
        <w:rPr>
          <w:rFonts w:asciiTheme="minorEastAsia" w:hAnsiTheme="minorEastAsia" w:eastAsiaTheme="minorEastAsia"/>
          <w:color w:val="000000"/>
        </w:rPr>
        <w:t>初级中心不要求独立设置</w:t>
      </w:r>
      <w:r>
        <w:rPr>
          <w:rFonts w:hint="eastAsia" w:asciiTheme="minorEastAsia" w:hAnsiTheme="minorEastAsia" w:eastAsiaTheme="minorEastAsia"/>
          <w:color w:val="000000"/>
        </w:rPr>
        <w:t>运动障碍</w:t>
      </w:r>
      <w:r>
        <w:rPr>
          <w:rFonts w:asciiTheme="minorEastAsia" w:hAnsiTheme="minorEastAsia" w:eastAsiaTheme="minorEastAsia"/>
          <w:color w:val="000000"/>
        </w:rPr>
        <w:t>专科门诊,但要求配备量表评估软件</w:t>
      </w:r>
      <w:r>
        <w:rPr>
          <w:rFonts w:hint="eastAsia" w:asciiTheme="minorEastAsia" w:hAnsiTheme="minorEastAsia" w:eastAsiaTheme="minorEastAsia"/>
          <w:color w:val="000000"/>
        </w:rPr>
        <w:t>（评估运动、情绪、精神、药物不良反应等方面）、</w:t>
      </w:r>
      <w:r>
        <w:rPr>
          <w:rFonts w:asciiTheme="minorEastAsia" w:hAnsiTheme="minorEastAsia" w:eastAsiaTheme="minorEastAsia"/>
          <w:color w:val="000000"/>
        </w:rPr>
        <w:t>打印机、身高体重检测仪、血压计、</w:t>
      </w:r>
      <w:r>
        <w:rPr>
          <w:rFonts w:hint="eastAsia" w:asciiTheme="minorEastAsia" w:hAnsiTheme="minorEastAsia" w:eastAsiaTheme="minorEastAsia"/>
          <w:color w:val="000000"/>
        </w:rPr>
        <w:t>血糖仪、</w:t>
      </w:r>
      <w:r>
        <w:rPr>
          <w:rFonts w:asciiTheme="minorEastAsia" w:hAnsiTheme="minorEastAsia" w:eastAsiaTheme="minorEastAsia"/>
          <w:color w:val="000000"/>
        </w:rPr>
        <w:t>疾病相关宣传手册</w:t>
      </w:r>
      <w:r>
        <w:rPr>
          <w:rFonts w:hint="eastAsia" w:asciiTheme="minorEastAsia" w:hAnsiTheme="minorEastAsia" w:eastAsiaTheme="minorEastAsia"/>
          <w:color w:val="000000"/>
        </w:rPr>
        <w:t>、</w:t>
      </w:r>
      <w:r>
        <w:rPr>
          <w:rFonts w:asciiTheme="minorEastAsia" w:hAnsiTheme="minorEastAsia" w:eastAsiaTheme="minorEastAsia"/>
          <w:color w:val="000000"/>
        </w:rPr>
        <w:t>数据管理</w:t>
      </w:r>
      <w:r>
        <w:rPr>
          <w:rFonts w:hint="eastAsia" w:asciiTheme="minorEastAsia" w:hAnsiTheme="minorEastAsia" w:eastAsiaTheme="minorEastAsia"/>
          <w:color w:val="000000"/>
        </w:rPr>
        <w:t>电脑或</w:t>
      </w:r>
      <w:r>
        <w:rPr>
          <w:rFonts w:asciiTheme="minorEastAsia" w:hAnsiTheme="minorEastAsia" w:eastAsiaTheme="minorEastAsia"/>
          <w:color w:val="000000"/>
        </w:rPr>
        <w:t>专用</w:t>
      </w:r>
      <w:r>
        <w:rPr>
          <w:rFonts w:hint="eastAsia" w:asciiTheme="minorEastAsia" w:hAnsiTheme="minorEastAsia" w:eastAsiaTheme="minorEastAsia"/>
          <w:color w:val="000000"/>
        </w:rPr>
        <w:t>档案柜等</w:t>
      </w:r>
      <w:r>
        <w:rPr>
          <w:rFonts w:asciiTheme="minorEastAsia" w:hAnsiTheme="minorEastAsia" w:eastAsiaTheme="minorEastAsia"/>
          <w:color w:val="000000"/>
        </w:rPr>
        <w:t xml:space="preserve">。 </w:t>
      </w:r>
    </w:p>
    <w:p>
      <w:pPr>
        <w:pStyle w:val="23"/>
        <w:tabs>
          <w:tab w:val="center" w:pos="4201"/>
          <w:tab w:val="right" w:leader="dot" w:pos="9298"/>
        </w:tabs>
        <w:spacing w:line="360" w:lineRule="exact"/>
        <w:ind w:firstLine="420"/>
        <w:rPr>
          <w:rFonts w:hint="eastAsia" w:asciiTheme="minorEastAsia" w:hAnsiTheme="minorEastAsia" w:eastAsiaTheme="minorEastAsia"/>
          <w:color w:val="000000"/>
        </w:rPr>
      </w:pPr>
      <w:r>
        <w:rPr>
          <w:rFonts w:hint="eastAsia" w:asciiTheme="minorEastAsia" w:hAnsiTheme="minorEastAsia" w:eastAsiaTheme="minorEastAsia"/>
          <w:color w:val="000000"/>
        </w:rPr>
        <w:t>b).</w:t>
      </w:r>
      <w:r>
        <w:rPr>
          <w:rFonts w:asciiTheme="minorEastAsia" w:hAnsiTheme="minorEastAsia" w:eastAsiaTheme="minorEastAsia"/>
          <w:color w:val="000000"/>
        </w:rPr>
        <w:t>专科设备</w:t>
      </w:r>
      <w:r>
        <w:rPr>
          <w:rFonts w:hint="eastAsia" w:asciiTheme="minorEastAsia" w:hAnsiTheme="minorEastAsia" w:eastAsiaTheme="minorEastAsia"/>
          <w:color w:val="000000"/>
        </w:rPr>
        <w:t>：</w:t>
      </w:r>
      <w:r>
        <w:rPr>
          <w:rFonts w:asciiTheme="minorEastAsia" w:hAnsiTheme="minorEastAsia" w:eastAsiaTheme="minorEastAsia"/>
          <w:color w:val="000000"/>
        </w:rPr>
        <w:t>初级中心不要求特殊专科设备</w:t>
      </w:r>
      <w:r>
        <w:rPr>
          <w:rFonts w:hint="eastAsia" w:asciiTheme="minorEastAsia" w:hAnsiTheme="minorEastAsia" w:eastAsiaTheme="minorEastAsia"/>
          <w:color w:val="000000"/>
        </w:rPr>
        <w:t>及技术</w:t>
      </w:r>
      <w:r>
        <w:rPr>
          <w:rFonts w:asciiTheme="minorEastAsia" w:hAnsiTheme="minorEastAsia" w:eastAsiaTheme="minorEastAsia"/>
          <w:color w:val="000000"/>
        </w:rPr>
        <w:t>配置。</w:t>
      </w:r>
    </w:p>
    <w:p>
      <w:pPr>
        <w:pStyle w:val="23"/>
        <w:tabs>
          <w:tab w:val="center" w:pos="4201"/>
          <w:tab w:val="right" w:leader="dot" w:pos="9298"/>
        </w:tabs>
        <w:spacing w:line="360" w:lineRule="exact"/>
        <w:ind w:firstLine="420"/>
        <w:rPr>
          <w:rFonts w:hint="eastAsia" w:asciiTheme="minorEastAsia" w:hAnsiTheme="minorEastAsia"/>
          <w:color w:val="000000"/>
        </w:rPr>
      </w:pPr>
      <w:r>
        <w:rPr>
          <w:rFonts w:hint="eastAsia" w:asciiTheme="minorEastAsia" w:hAnsiTheme="minorEastAsia" w:eastAsiaTheme="minorEastAsia"/>
          <w:color w:val="000000"/>
        </w:rPr>
        <w:t>c).</w:t>
      </w:r>
      <w:r>
        <w:rPr>
          <w:rFonts w:asciiTheme="minorEastAsia" w:hAnsiTheme="minorEastAsia" w:eastAsiaTheme="minorEastAsia"/>
          <w:color w:val="000000"/>
        </w:rPr>
        <w:t>人员配置</w:t>
      </w:r>
      <w:r>
        <w:rPr>
          <w:rFonts w:hint="eastAsia" w:asciiTheme="minorEastAsia" w:hAnsiTheme="minorEastAsia" w:eastAsiaTheme="minorEastAsia"/>
          <w:color w:val="000000"/>
        </w:rPr>
        <w:t>：</w:t>
      </w:r>
      <w:r>
        <w:rPr>
          <w:rFonts w:asciiTheme="minorEastAsia" w:hAnsiTheme="minorEastAsia" w:eastAsiaTheme="minorEastAsia"/>
          <w:color w:val="000000"/>
        </w:rPr>
        <w:t>初级中心应配备经运动障碍病专科培训的医师和护士</w:t>
      </w:r>
      <w:r>
        <w:rPr>
          <w:rFonts w:hint="eastAsia" w:asciiTheme="minorEastAsia" w:hAnsiTheme="minorEastAsia" w:eastAsiaTheme="minorEastAsia"/>
          <w:color w:val="000000"/>
        </w:rPr>
        <w:t>，原则上</w:t>
      </w:r>
      <w:r>
        <w:rPr>
          <w:rFonts w:asciiTheme="minorEastAsia" w:hAnsiTheme="minorEastAsia" w:eastAsiaTheme="minorEastAsia"/>
          <w:color w:val="000000"/>
        </w:rPr>
        <w:t>至少各1名。</w:t>
      </w:r>
      <w:r>
        <w:rPr>
          <w:rFonts w:asciiTheme="minorEastAsia" w:hAnsiTheme="minorEastAsia"/>
          <w:color w:val="000000"/>
        </w:rPr>
        <w:t>相关医护人员应掌握常见运动障碍</w:t>
      </w:r>
      <w:r>
        <w:rPr>
          <w:rFonts w:hint="eastAsia" w:asciiTheme="minorEastAsia" w:hAnsiTheme="minorEastAsia"/>
          <w:color w:val="000000"/>
        </w:rPr>
        <w:t>症状</w:t>
      </w:r>
      <w:r>
        <w:rPr>
          <w:rFonts w:asciiTheme="minorEastAsia" w:hAnsiTheme="minorEastAsia"/>
          <w:color w:val="000000"/>
        </w:rPr>
        <w:t>的识别</w:t>
      </w:r>
      <w:r>
        <w:rPr>
          <w:rFonts w:hint="eastAsia" w:asciiTheme="minorEastAsia" w:hAnsiTheme="minorEastAsia"/>
          <w:color w:val="000000"/>
        </w:rPr>
        <w:t>、</w:t>
      </w:r>
      <w:r>
        <w:rPr>
          <w:rFonts w:asciiTheme="minorEastAsia" w:hAnsiTheme="minorEastAsia"/>
          <w:color w:val="000000"/>
        </w:rPr>
        <w:t>相关量表的应用</w:t>
      </w:r>
      <w:r>
        <w:rPr>
          <w:rFonts w:hint="eastAsia" w:asciiTheme="minorEastAsia" w:hAnsiTheme="minorEastAsia"/>
          <w:color w:val="000000"/>
        </w:rPr>
        <w:t>、药源性</w:t>
      </w:r>
      <w:r>
        <w:rPr>
          <w:rFonts w:asciiTheme="minorEastAsia" w:hAnsiTheme="minorEastAsia"/>
          <w:color w:val="000000"/>
        </w:rPr>
        <w:t>运动障碍风险管理及转诊流程。鼓励初级中心医护人员定期接受标准中心或高级中心开展的专业培训。</w:t>
      </w:r>
    </w:p>
    <w:p>
      <w:pPr>
        <w:pStyle w:val="23"/>
        <w:tabs>
          <w:tab w:val="center" w:pos="4201"/>
          <w:tab w:val="right" w:leader="dot" w:pos="9298"/>
        </w:tabs>
        <w:spacing w:line="360" w:lineRule="exact"/>
        <w:ind w:firstLine="420"/>
        <w:rPr>
          <w:rFonts w:hint="eastAsia" w:asciiTheme="minorEastAsia" w:hAnsiTheme="minorEastAsia" w:eastAsiaTheme="minorEastAsia"/>
          <w:color w:val="000000"/>
        </w:rPr>
      </w:pPr>
      <w:r>
        <w:rPr>
          <w:rFonts w:hint="eastAsia" w:asciiTheme="minorEastAsia" w:hAnsiTheme="minorEastAsia" w:eastAsiaTheme="minorEastAsia"/>
          <w:color w:val="000000"/>
        </w:rPr>
        <w:t>d).</w:t>
      </w:r>
      <w:r>
        <w:rPr>
          <w:rFonts w:hint="eastAsia" w:hAnsi="宋体"/>
          <w:color w:val="000000" w:themeColor="text1"/>
          <w:szCs w:val="22"/>
          <w14:textFill>
            <w14:solidFill>
              <w14:schemeClr w14:val="tx1"/>
            </w14:solidFill>
          </w14:textFill>
        </w:rPr>
        <w:t>管理内容：（1）对长期接受抗精神病药物治疗患者及其他运动障碍高风险人群开展筛查，识别可能存在的药源性运动障碍及相关运动症状；（2）对诊断明确、病情稳定的运动障碍患者开展基础治疗、健康教育、用药指导和长期随访管理；（3）对存在诊断困难、症状复杂、治疗反应不佳或需要进一步评估的患者，及时转诊至标准中心或高级中心；（4）根据上级中心制定的诊疗方案，协助开展患者持续管理和居家康复指导；（5）</w:t>
      </w:r>
      <w:r>
        <w:rPr>
          <w:rFonts w:hint="eastAsia" w:hAnsi="宋体" w:cstheme="minorBidi"/>
          <w:kern w:val="2"/>
          <w:szCs w:val="22"/>
        </w:rPr>
        <w:t>每年定期开展患者教育及义诊活动。</w:t>
      </w:r>
    </w:p>
    <w:p>
      <w:pPr>
        <w:pStyle w:val="23"/>
        <w:tabs>
          <w:tab w:val="center" w:pos="4201"/>
          <w:tab w:val="right" w:leader="dot" w:pos="9298"/>
        </w:tabs>
        <w:spacing w:line="360" w:lineRule="exact"/>
        <w:ind w:firstLine="420"/>
        <w:rPr>
          <w:rFonts w:hint="eastAsia" w:hAnsi="宋体" w:cstheme="minorBidi"/>
          <w:kern w:val="2"/>
          <w:szCs w:val="22"/>
        </w:rPr>
      </w:pPr>
      <w:r>
        <w:rPr>
          <w:rFonts w:hint="eastAsia" w:hAnsi="宋体" w:cstheme="minorBidi"/>
          <w:kern w:val="2"/>
          <w:szCs w:val="22"/>
        </w:rPr>
        <w:t>e).科研、教学、学术交流：鼓励参与上级中心开展的科研协作；鼓励与上级中心紧密协作，接受专业培训；开展远程会诊及教学，积极参与学术交流。</w:t>
      </w:r>
    </w:p>
    <w:p>
      <w:pPr>
        <w:pStyle w:val="25"/>
        <w:numPr>
          <w:ilvl w:val="0"/>
          <w:numId w:val="0"/>
        </w:numPr>
        <w:spacing w:before="120" w:beforeLines="50" w:after="120" w:afterLines="50"/>
        <w:ind w:firstLine="420" w:firstLineChars="200"/>
        <w:rPr>
          <w:rFonts w:hint="eastAsia"/>
        </w:rPr>
      </w:pPr>
      <w:bookmarkStart w:id="39" w:name="_Toc237988308"/>
      <w:r>
        <w:rPr>
          <w:rFonts w:hint="eastAsia"/>
        </w:rPr>
        <w:t>4.3</w:t>
      </w:r>
      <w:r>
        <w:rPr/>
        <w:sym w:font="Wingdings 2" w:char="F0A3"/>
      </w:r>
      <w:r>
        <w:rPr>
          <w:rFonts w:hint="eastAsia"/>
        </w:rPr>
        <w:t xml:space="preserve"> 标准中心</w:t>
      </w:r>
      <w:bookmarkEnd w:id="39"/>
    </w:p>
    <w:p>
      <w:pPr>
        <w:pStyle w:val="23"/>
        <w:spacing w:line="360" w:lineRule="exact"/>
        <w:ind w:firstLine="420"/>
        <w:rPr>
          <w:rFonts w:hint="eastAsia" w:hAnsi="宋体"/>
          <w:color w:val="000000" w:themeColor="text1"/>
          <w:szCs w:val="22"/>
          <w14:textFill>
            <w14:solidFill>
              <w14:schemeClr w14:val="tx1"/>
            </w14:solidFill>
          </w14:textFill>
        </w:rPr>
      </w:pPr>
      <w:r>
        <w:rPr>
          <w:rFonts w:hint="eastAsia" w:hAnsi="宋体"/>
          <w:color w:val="000000" w:themeColor="text1"/>
          <w:szCs w:val="22"/>
          <w14:textFill>
            <w14:solidFill>
              <w14:schemeClr w14:val="tx1"/>
            </w14:solidFill>
          </w14:textFill>
        </w:rPr>
        <w:t>标准中心主要由具备较完善诊疗能力的三级精神专科医院构成，主要承担运动障碍疾病的系统评估、诊断、治疗、随访、管理及区域指导工作。标准中心应以神经精神联合诊疗模式为基础，重点开展药源性运动障碍，特别是迟发性运动障碍、药源性帕金森综合征等疾病的规范化诊疗，同时具备对帕金森病、亨廷顿病等伴精神行为症状运动障碍疾病进行识别、评估和协同管理的能力。</w:t>
      </w:r>
    </w:p>
    <w:p>
      <w:pPr>
        <w:pStyle w:val="23"/>
        <w:spacing w:line="360" w:lineRule="exact"/>
        <w:ind w:firstLine="420"/>
        <w:rPr>
          <w:rFonts w:hint="eastAsia" w:hAnsi="宋体"/>
          <w:color w:val="000000" w:themeColor="text1"/>
          <w:szCs w:val="22"/>
          <w14:textFill>
            <w14:solidFill>
              <w14:schemeClr w14:val="tx1"/>
            </w14:solidFill>
          </w14:textFill>
        </w:rPr>
      </w:pPr>
      <w:r>
        <w:rPr>
          <w:rFonts w:hint="eastAsia" w:asciiTheme="minorEastAsia" w:hAnsiTheme="minorEastAsia" w:eastAsiaTheme="minorEastAsia"/>
          <w:color w:val="000000"/>
        </w:rPr>
        <w:t>a).</w:t>
      </w:r>
      <w:r>
        <w:rPr>
          <w:rFonts w:asciiTheme="minorEastAsia" w:hAnsiTheme="minorEastAsia" w:eastAsiaTheme="minorEastAsia"/>
          <w:color w:val="000000"/>
        </w:rPr>
        <w:t>一般设施</w:t>
      </w:r>
      <w:r>
        <w:rPr>
          <w:rFonts w:hint="eastAsia" w:asciiTheme="minorEastAsia" w:hAnsiTheme="minorEastAsia" w:eastAsiaTheme="minorEastAsia"/>
          <w:color w:val="000000"/>
        </w:rPr>
        <w:t>：</w:t>
      </w:r>
      <w:r>
        <w:rPr>
          <w:rFonts w:asciiTheme="minorEastAsia" w:hAnsiTheme="minorEastAsia" w:eastAsiaTheme="minorEastAsia"/>
          <w:color w:val="000000"/>
        </w:rPr>
        <w:t>独立设置</w:t>
      </w:r>
      <w:r>
        <w:rPr>
          <w:rFonts w:hint="eastAsia" w:asciiTheme="minorEastAsia" w:hAnsiTheme="minorEastAsia" w:eastAsiaTheme="minorEastAsia"/>
          <w:color w:val="000000"/>
        </w:rPr>
        <w:t>运动障碍专病</w:t>
      </w:r>
      <w:r>
        <w:rPr>
          <w:rFonts w:asciiTheme="minorEastAsia" w:hAnsiTheme="minorEastAsia" w:eastAsiaTheme="minorEastAsia"/>
          <w:color w:val="000000"/>
        </w:rPr>
        <w:t>门诊</w:t>
      </w:r>
      <w:r>
        <w:rPr>
          <w:rFonts w:hint="eastAsia" w:asciiTheme="minorEastAsia" w:hAnsiTheme="minorEastAsia" w:eastAsiaTheme="minorEastAsia"/>
          <w:color w:val="000000"/>
        </w:rPr>
        <w:t>，</w:t>
      </w:r>
      <w:r>
        <w:rPr>
          <w:rFonts w:asciiTheme="minorEastAsia" w:hAnsiTheme="minorEastAsia" w:eastAsiaTheme="minorEastAsia"/>
          <w:color w:val="000000"/>
        </w:rPr>
        <w:t>至少设诊室</w:t>
      </w:r>
      <w:r>
        <w:rPr>
          <w:rFonts w:hint="eastAsia" w:asciiTheme="minorEastAsia" w:hAnsiTheme="minorEastAsia" w:eastAsiaTheme="minorEastAsia"/>
          <w:color w:val="000000"/>
        </w:rPr>
        <w:t>1</w:t>
      </w:r>
      <w:r>
        <w:rPr>
          <w:rFonts w:asciiTheme="minorEastAsia" w:hAnsiTheme="minorEastAsia" w:eastAsiaTheme="minorEastAsia"/>
          <w:color w:val="000000"/>
        </w:rPr>
        <w:t>个</w:t>
      </w:r>
      <w:r>
        <w:rPr>
          <w:rFonts w:hint="eastAsia" w:asciiTheme="minorEastAsia" w:hAnsiTheme="minorEastAsia" w:eastAsiaTheme="minorEastAsia"/>
          <w:color w:val="000000"/>
        </w:rPr>
        <w:t>，</w:t>
      </w:r>
      <w:r>
        <w:rPr>
          <w:rFonts w:asciiTheme="minorEastAsia" w:hAnsiTheme="minorEastAsia" w:eastAsiaTheme="minorEastAsia"/>
          <w:color w:val="000000"/>
        </w:rPr>
        <w:t>另需运动障碍评估室等</w:t>
      </w:r>
      <w:r>
        <w:rPr>
          <w:rFonts w:hint="eastAsia" w:asciiTheme="minorEastAsia" w:hAnsiTheme="minorEastAsia" w:eastAsiaTheme="minorEastAsia"/>
          <w:color w:val="000000"/>
        </w:rPr>
        <w:t>；</w:t>
      </w:r>
      <w:r>
        <w:rPr>
          <w:rFonts w:asciiTheme="minorEastAsia" w:hAnsiTheme="minorEastAsia" w:eastAsiaTheme="minorEastAsia"/>
          <w:color w:val="000000"/>
        </w:rPr>
        <w:t>专科门诊应具备量量表评估软件及电子化评估系统，支持运动症状、非运动症状及精神症状评估</w:t>
      </w:r>
      <w:r>
        <w:rPr>
          <w:rFonts w:hint="eastAsia" w:asciiTheme="minorEastAsia" w:hAnsiTheme="minorEastAsia" w:eastAsiaTheme="minorEastAsia"/>
          <w:color w:val="000000"/>
        </w:rPr>
        <w:t>；</w:t>
      </w:r>
      <w:r>
        <w:rPr>
          <w:rFonts w:asciiTheme="minorEastAsia" w:hAnsiTheme="minorEastAsia" w:eastAsiaTheme="minorEastAsia"/>
          <w:color w:val="000000"/>
        </w:rPr>
        <w:t>计算机、打印设备等信息化设施；身高体重检测仪、血压计、血糖仪等基础检测设备；患者教育资料及疾病管理档案。鼓励建立运动障碍患者随访管理系统，实现临床资料规范化管理。</w:t>
      </w:r>
    </w:p>
    <w:p>
      <w:pPr>
        <w:pStyle w:val="23"/>
        <w:tabs>
          <w:tab w:val="center" w:pos="4201"/>
          <w:tab w:val="right" w:leader="dot" w:pos="9298"/>
        </w:tabs>
        <w:spacing w:line="360" w:lineRule="exact"/>
        <w:ind w:firstLine="420"/>
        <w:rPr>
          <w:rFonts w:hint="eastAsia" w:asciiTheme="minorEastAsia" w:hAnsiTheme="minorEastAsia" w:eastAsiaTheme="minorEastAsia"/>
          <w:color w:val="000000"/>
        </w:rPr>
      </w:pPr>
      <w:r>
        <w:rPr>
          <w:rFonts w:hint="eastAsia" w:asciiTheme="minorEastAsia" w:hAnsiTheme="minorEastAsia" w:eastAsiaTheme="minorEastAsia"/>
          <w:color w:val="000000"/>
        </w:rPr>
        <w:t>b).专科配置：</w:t>
      </w:r>
      <w:r>
        <w:rPr>
          <w:rFonts w:asciiTheme="minorEastAsia" w:hAnsiTheme="minorEastAsia" w:eastAsiaTheme="minorEastAsia"/>
          <w:color w:val="000000"/>
        </w:rPr>
        <w:t>(1)常规诊疗设备、急救设备、信息化设备等</w:t>
      </w:r>
      <w:r>
        <w:rPr>
          <w:rFonts w:hint="eastAsia" w:asciiTheme="minorEastAsia" w:hAnsiTheme="minorEastAsia" w:eastAsiaTheme="minorEastAsia"/>
          <w:color w:val="000000"/>
        </w:rPr>
        <w:t>，</w:t>
      </w:r>
      <w:r>
        <w:rPr>
          <w:rFonts w:asciiTheme="minorEastAsia" w:hAnsiTheme="minorEastAsia" w:eastAsiaTheme="minorEastAsia"/>
          <w:color w:val="000000"/>
        </w:rPr>
        <w:t>按三级医院规定配备</w:t>
      </w:r>
      <w:r>
        <w:rPr>
          <w:rFonts w:hint="eastAsia" w:asciiTheme="minorEastAsia" w:hAnsiTheme="minorEastAsia" w:eastAsiaTheme="minorEastAsia"/>
          <w:color w:val="000000"/>
        </w:rPr>
        <w:t>；</w:t>
      </w:r>
      <w:r>
        <w:rPr>
          <w:rFonts w:asciiTheme="minorEastAsia" w:hAnsiTheme="minorEastAsia" w:eastAsiaTheme="minorEastAsia"/>
          <w:color w:val="000000"/>
        </w:rPr>
        <w:t>(2)</w:t>
      </w:r>
      <w:r>
        <w:rPr>
          <w:rFonts w:asciiTheme="minorHAnsi" w:hAnsiTheme="minorHAnsi" w:eastAsiaTheme="minorEastAsia" w:cstheme="minorBidi"/>
          <w:kern w:val="2"/>
          <w:szCs w:val="22"/>
        </w:rPr>
        <w:t xml:space="preserve"> </w:t>
      </w:r>
      <w:r>
        <w:rPr>
          <w:rFonts w:asciiTheme="minorEastAsia" w:hAnsiTheme="minorEastAsia" w:eastAsiaTheme="minorEastAsia"/>
          <w:color w:val="000000"/>
        </w:rPr>
        <w:t>具备开展精神科药物治疗监测及相关辅助检查的条件</w:t>
      </w:r>
      <w:r>
        <w:rPr>
          <w:rFonts w:hint="eastAsia" w:asciiTheme="minorEastAsia" w:hAnsiTheme="minorEastAsia" w:eastAsiaTheme="minorEastAsia"/>
          <w:color w:val="000000"/>
        </w:rPr>
        <w:t>：包括常见精神科药物的血液浓度检测；（3）具备头</w:t>
      </w:r>
      <w:r>
        <w:rPr>
          <w:rFonts w:asciiTheme="minorEastAsia" w:hAnsiTheme="minorEastAsia" w:eastAsiaTheme="minorEastAsia"/>
          <w:color w:val="000000"/>
        </w:rPr>
        <w:t>CT、多导</w:t>
      </w:r>
      <w:r>
        <w:rPr>
          <w:rFonts w:hint="eastAsia" w:asciiTheme="minorEastAsia" w:hAnsiTheme="minorEastAsia" w:eastAsiaTheme="minorEastAsia"/>
          <w:color w:val="000000"/>
        </w:rPr>
        <w:t>睡眠监</w:t>
      </w:r>
      <w:r>
        <w:rPr>
          <w:rFonts w:asciiTheme="minorEastAsia" w:hAnsiTheme="minorEastAsia" w:eastAsiaTheme="minorEastAsia"/>
          <w:color w:val="000000"/>
        </w:rPr>
        <w:t>测仪</w:t>
      </w:r>
      <w:r>
        <w:rPr>
          <w:rFonts w:hint="eastAsia" w:asciiTheme="minorEastAsia" w:hAnsiTheme="minorEastAsia" w:eastAsiaTheme="minorEastAsia"/>
          <w:color w:val="000000"/>
        </w:rPr>
        <w:t>等相关辅助检查条件。</w:t>
      </w:r>
      <w:r>
        <w:rPr>
          <w:rFonts w:asciiTheme="minorEastAsia" w:hAnsiTheme="minorEastAsia" w:eastAsiaTheme="minorEastAsia"/>
          <w:color w:val="000000"/>
        </w:rPr>
        <w:t>根据临床需求，可依托所在医院资源开展MRI、神经电生理及其他相关检查。</w:t>
      </w:r>
    </w:p>
    <w:p>
      <w:pPr>
        <w:pStyle w:val="23"/>
        <w:tabs>
          <w:tab w:val="center" w:pos="4201"/>
          <w:tab w:val="right" w:leader="dot" w:pos="9298"/>
        </w:tabs>
        <w:spacing w:line="360" w:lineRule="exact"/>
        <w:ind w:firstLine="420"/>
        <w:rPr>
          <w:rFonts w:hint="eastAsia" w:asciiTheme="minorEastAsia" w:hAnsiTheme="minorEastAsia" w:eastAsiaTheme="minorEastAsia"/>
          <w:color w:val="000000"/>
        </w:rPr>
      </w:pPr>
      <w:r>
        <w:rPr>
          <w:rFonts w:hint="eastAsia" w:asciiTheme="minorEastAsia" w:hAnsiTheme="minorEastAsia" w:eastAsiaTheme="minorEastAsia"/>
          <w:color w:val="000000"/>
        </w:rPr>
        <w:t>c).</w:t>
      </w:r>
      <w:r>
        <w:rPr>
          <w:rFonts w:asciiTheme="minorEastAsia" w:hAnsiTheme="minorEastAsia" w:eastAsiaTheme="minorEastAsia"/>
          <w:color w:val="000000"/>
        </w:rPr>
        <w:t>专科技术</w:t>
      </w:r>
      <w:r>
        <w:rPr>
          <w:rFonts w:hint="eastAsia" w:asciiTheme="minorEastAsia" w:hAnsiTheme="minorEastAsia" w:eastAsiaTheme="minorEastAsia"/>
          <w:color w:val="000000"/>
        </w:rPr>
        <w:t>：</w:t>
      </w:r>
      <w:r>
        <w:rPr>
          <w:rFonts w:asciiTheme="minorEastAsia" w:hAnsiTheme="minorEastAsia" w:eastAsiaTheme="minorEastAsia"/>
          <w:color w:val="000000"/>
        </w:rPr>
        <w:t>(1)基本专科技术</w:t>
      </w:r>
      <w:r>
        <w:rPr>
          <w:rFonts w:hint="eastAsia" w:asciiTheme="minorEastAsia" w:hAnsiTheme="minorEastAsia" w:eastAsiaTheme="minorEastAsia"/>
          <w:color w:val="000000"/>
        </w:rPr>
        <w:t>：</w:t>
      </w:r>
      <w:r>
        <w:rPr>
          <w:rFonts w:asciiTheme="minorEastAsia" w:hAnsiTheme="minorEastAsia" w:eastAsiaTheme="minorEastAsia"/>
          <w:color w:val="000000"/>
        </w:rPr>
        <w:t>①能够开展</w:t>
      </w:r>
      <w:r>
        <w:rPr>
          <w:rFonts w:hint="eastAsia" w:asciiTheme="minorEastAsia" w:hAnsiTheme="minorEastAsia" w:eastAsiaTheme="minorEastAsia"/>
          <w:color w:val="000000"/>
        </w:rPr>
        <w:t>药源性</w:t>
      </w:r>
      <w:r>
        <w:rPr>
          <w:rFonts w:asciiTheme="minorEastAsia" w:hAnsiTheme="minorEastAsia" w:eastAsiaTheme="minorEastAsia"/>
          <w:color w:val="000000"/>
        </w:rPr>
        <w:t>及</w:t>
      </w:r>
      <w:r>
        <w:rPr>
          <w:rFonts w:hint="eastAsia" w:asciiTheme="minorEastAsia" w:hAnsiTheme="minorEastAsia" w:eastAsiaTheme="minorEastAsia"/>
          <w:color w:val="000000"/>
        </w:rPr>
        <w:t>其他</w:t>
      </w:r>
      <w:r>
        <w:rPr>
          <w:rFonts w:asciiTheme="minorEastAsia" w:hAnsiTheme="minorEastAsia" w:eastAsiaTheme="minorEastAsia"/>
          <w:color w:val="000000"/>
        </w:rPr>
        <w:t>运动障碍</w:t>
      </w:r>
      <w:r>
        <w:rPr>
          <w:rFonts w:hint="eastAsia" w:asciiTheme="minorEastAsia" w:hAnsiTheme="minorEastAsia" w:eastAsiaTheme="minorEastAsia"/>
          <w:color w:val="000000"/>
        </w:rPr>
        <w:t>疾病的一般</w:t>
      </w:r>
      <w:r>
        <w:rPr>
          <w:rFonts w:asciiTheme="minorEastAsia" w:hAnsiTheme="minorEastAsia" w:eastAsiaTheme="minorEastAsia"/>
          <w:color w:val="000000"/>
        </w:rPr>
        <w:t>诊断、鉴别诊断及</w:t>
      </w:r>
      <w:r>
        <w:rPr>
          <w:rFonts w:hint="eastAsia" w:asciiTheme="minorEastAsia" w:hAnsiTheme="minorEastAsia" w:eastAsiaTheme="minorEastAsia"/>
          <w:color w:val="000000"/>
        </w:rPr>
        <w:t>一般</w:t>
      </w:r>
      <w:r>
        <w:rPr>
          <w:rFonts w:asciiTheme="minorEastAsia" w:hAnsiTheme="minorEastAsia" w:eastAsiaTheme="minorEastAsia"/>
          <w:color w:val="000000"/>
        </w:rPr>
        <w:t>药物治疗工作</w:t>
      </w:r>
      <w:r>
        <w:rPr>
          <w:rFonts w:hint="eastAsia" w:asciiTheme="minorEastAsia" w:hAnsiTheme="minorEastAsia" w:eastAsiaTheme="minorEastAsia"/>
          <w:color w:val="000000"/>
        </w:rPr>
        <w:t>；</w:t>
      </w:r>
      <w:r>
        <w:rPr>
          <w:rFonts w:asciiTheme="minorEastAsia" w:hAnsiTheme="minorEastAsia" w:eastAsiaTheme="minorEastAsia"/>
          <w:color w:val="000000"/>
        </w:rPr>
        <w:t>②建立规范化的量表系统评估,包括运动功能</w:t>
      </w:r>
      <w:r>
        <w:rPr>
          <w:rFonts w:hint="eastAsia" w:asciiTheme="minorEastAsia" w:hAnsiTheme="minorEastAsia" w:eastAsiaTheme="minorEastAsia"/>
          <w:color w:val="000000"/>
        </w:rPr>
        <w:t>和</w:t>
      </w:r>
      <w:r>
        <w:rPr>
          <w:rFonts w:asciiTheme="minorEastAsia" w:hAnsiTheme="minorEastAsia" w:eastAsiaTheme="minorEastAsia"/>
          <w:color w:val="000000"/>
        </w:rPr>
        <w:t>非运动功能评估等</w:t>
      </w:r>
      <w:r>
        <w:rPr>
          <w:rFonts w:hint="eastAsia" w:asciiTheme="minorEastAsia" w:hAnsiTheme="minorEastAsia" w:eastAsiaTheme="minorEastAsia"/>
          <w:color w:val="000000"/>
        </w:rPr>
        <w:t>；</w:t>
      </w:r>
      <w:r>
        <w:rPr>
          <w:rFonts w:asciiTheme="minorEastAsia" w:hAnsiTheme="minorEastAsia" w:eastAsiaTheme="minorEastAsia"/>
          <w:color w:val="000000"/>
        </w:rPr>
        <w:t>③</w:t>
      </w:r>
      <w:r>
        <w:rPr>
          <w:rFonts w:hint="eastAsia" w:asciiTheme="minorEastAsia" w:hAnsiTheme="minorEastAsia" w:eastAsiaTheme="minorEastAsia"/>
          <w:color w:val="000000"/>
        </w:rPr>
        <w:t>能够开展运动障碍疾病相关治疗方案制定，包括：抗精神病药物优化调整、药物治疗管理、不良反应监测、康复指导；④</w:t>
      </w:r>
      <w:r>
        <w:rPr>
          <w:rFonts w:asciiTheme="minorEastAsia" w:hAnsiTheme="minorEastAsia" w:eastAsiaTheme="minorEastAsia"/>
          <w:color w:val="000000"/>
        </w:rPr>
        <w:t>能够开展</w:t>
      </w:r>
      <w:r>
        <w:rPr>
          <w:rFonts w:hint="eastAsia" w:asciiTheme="minorEastAsia" w:hAnsiTheme="minorEastAsia" w:eastAsiaTheme="minorEastAsia"/>
          <w:color w:val="000000"/>
        </w:rPr>
        <w:t>无创</w:t>
      </w:r>
      <w:r>
        <w:rPr>
          <w:rFonts w:asciiTheme="minorEastAsia" w:hAnsiTheme="minorEastAsia" w:eastAsiaTheme="minorEastAsia"/>
          <w:color w:val="000000"/>
        </w:rPr>
        <w:t>神经调控治疗的评估和</w:t>
      </w:r>
      <w:r>
        <w:rPr>
          <w:rFonts w:hint="eastAsia" w:asciiTheme="minorEastAsia" w:hAnsiTheme="minorEastAsia" w:eastAsiaTheme="minorEastAsia"/>
          <w:color w:val="000000"/>
        </w:rPr>
        <w:t>治疗</w:t>
      </w:r>
      <w:r>
        <w:rPr>
          <w:rFonts w:asciiTheme="minorEastAsia" w:hAnsiTheme="minorEastAsia" w:eastAsiaTheme="minorEastAsia"/>
          <w:color w:val="000000"/>
        </w:rPr>
        <w:t>工作</w:t>
      </w:r>
      <w:r>
        <w:rPr>
          <w:rFonts w:hint="eastAsia" w:asciiTheme="minorEastAsia" w:hAnsiTheme="minorEastAsia" w:eastAsiaTheme="minorEastAsia"/>
          <w:color w:val="000000"/>
        </w:rPr>
        <w:t>；</w:t>
      </w:r>
      <w:r>
        <w:rPr>
          <w:rFonts w:hint="eastAsia" w:asciiTheme="minorEastAsia" w:hAnsiTheme="minorEastAsia" w:eastAsiaTheme="minorEastAsia"/>
          <w:color w:val="000000"/>
        </w:rPr>
        <w:sym w:font="Wingdings 2" w:char="F06E"/>
      </w:r>
      <w:r>
        <w:rPr>
          <w:rFonts w:hint="eastAsia" w:asciiTheme="minorEastAsia" w:hAnsiTheme="minorEastAsia" w:eastAsiaTheme="minorEastAsia"/>
          <w:color w:val="000000"/>
        </w:rPr>
        <w:t>与初级中心联动协同,为患者长期治疗和随访提供指导建议。(2)进阶专科技术：鼓励标准中心在高级中心的指导下进一步拓展进阶技术(详见高级中心进阶专科技术)。</w:t>
      </w:r>
    </w:p>
    <w:p>
      <w:pPr>
        <w:pStyle w:val="23"/>
        <w:tabs>
          <w:tab w:val="center" w:pos="4201"/>
          <w:tab w:val="right" w:leader="dot" w:pos="9298"/>
        </w:tabs>
        <w:spacing w:line="360" w:lineRule="exact"/>
        <w:ind w:firstLine="420"/>
        <w:rPr>
          <w:rFonts w:hint="eastAsia" w:asciiTheme="minorEastAsia" w:hAnsiTheme="minorEastAsia" w:eastAsiaTheme="minorEastAsia"/>
          <w:color w:val="000000"/>
        </w:rPr>
      </w:pPr>
      <w:r>
        <w:rPr>
          <w:rFonts w:hint="eastAsia" w:asciiTheme="minorEastAsia" w:hAnsiTheme="minorEastAsia" w:eastAsiaTheme="minorEastAsia"/>
          <w:color w:val="000000"/>
        </w:rPr>
        <w:t>d).人员配置：标准中心负责人应为运动障碍病专家,具有运动障碍病专业团队,团队应结构合理，包括神经科和精神科专科医师、护理专业人员、技师，鼓励团队纳入康复医学、影像医学、营养专业医师等。</w:t>
      </w:r>
      <w:r>
        <w:rPr>
          <w:rFonts w:hint="eastAsia" w:hAnsi="宋体" w:cstheme="minorBidi"/>
          <w:kern w:val="2"/>
          <w:szCs w:val="22"/>
        </w:rPr>
        <w:t>团队骨干需经过省级及以上的专业机构开展的运动障碍疾病相关培训。</w:t>
      </w:r>
    </w:p>
    <w:p>
      <w:pPr>
        <w:pStyle w:val="23"/>
        <w:tabs>
          <w:tab w:val="center" w:pos="4201"/>
          <w:tab w:val="right" w:leader="dot" w:pos="9298"/>
        </w:tabs>
        <w:spacing w:line="360" w:lineRule="exact"/>
        <w:ind w:firstLine="420"/>
        <w:rPr>
          <w:rFonts w:hint="eastAsia" w:asciiTheme="minorEastAsia" w:hAnsiTheme="minorEastAsia" w:eastAsiaTheme="minorEastAsia"/>
          <w:color w:val="000000"/>
        </w:rPr>
      </w:pPr>
      <w:r>
        <w:rPr>
          <w:rFonts w:hint="eastAsia" w:asciiTheme="minorEastAsia" w:hAnsiTheme="minorEastAsia" w:eastAsiaTheme="minorEastAsia"/>
          <w:color w:val="000000"/>
        </w:rPr>
        <w:t>e)</w:t>
      </w:r>
      <w:r>
        <w:rPr>
          <w:rFonts w:asciiTheme="minorEastAsia" w:hAnsiTheme="minorEastAsia" w:eastAsiaTheme="minorEastAsia"/>
          <w:color w:val="000000"/>
        </w:rPr>
        <w:t>.</w:t>
      </w:r>
      <w:r>
        <w:rPr>
          <w:rFonts w:hint="eastAsia" w:hAnsi="宋体"/>
          <w:color w:val="000000" w:themeColor="text1"/>
          <w:szCs w:val="22"/>
          <w14:textFill>
            <w14:solidFill>
              <w14:schemeClr w14:val="tx1"/>
            </w14:solidFill>
          </w14:textFill>
        </w:rPr>
        <w:t>管理内容：（1）建立运动障碍专病门诊，开展药源性运动障碍及相关运动障碍疾病的系统评估、诊断和治疗；（2）针对常见药源性运动障碍以及帕金森病等伴精神行为症状的运动障碍疾病，开展规范化诊疗；（3）建立运动症状及非运动症状综合评估体系，制定个体化治疗方案；（4）对初级中心转诊患者进行诊断评估和治疗调整，对诊断困难、治疗反应不佳或存在严重并发症患者转诊至高级中心；（5）指导区域内初级中心开展运动障碍疾病筛查、随访和患者管理；（6）</w:t>
      </w:r>
      <w:r>
        <w:rPr>
          <w:rFonts w:hint="eastAsia" w:hAnsi="宋体" w:cstheme="minorBidi"/>
          <w:kern w:val="2"/>
          <w:szCs w:val="22"/>
        </w:rPr>
        <w:t>每年定期开展患者教育及义诊活动。</w:t>
      </w:r>
    </w:p>
    <w:p>
      <w:pPr>
        <w:pStyle w:val="23"/>
        <w:tabs>
          <w:tab w:val="center" w:pos="4201"/>
          <w:tab w:val="right" w:leader="dot" w:pos="9298"/>
        </w:tabs>
        <w:spacing w:line="360" w:lineRule="exact"/>
        <w:ind w:firstLine="420"/>
        <w:rPr>
          <w:rFonts w:hint="eastAsia" w:hAnsi="宋体" w:cstheme="minorBidi"/>
          <w:kern w:val="2"/>
          <w:szCs w:val="22"/>
        </w:rPr>
      </w:pPr>
      <w:r>
        <w:rPr>
          <w:rFonts w:hint="eastAsia" w:hAnsi="宋体" w:cstheme="minorBidi"/>
          <w:kern w:val="2"/>
          <w:szCs w:val="22"/>
        </w:rPr>
        <w:t>f).科研、教学、学术交流：发表相关学术论文并参与相关科研项目；</w:t>
      </w:r>
      <w:r>
        <w:rPr>
          <w:rFonts w:hAnsi="宋体" w:cstheme="minorBidi"/>
          <w:kern w:val="2"/>
          <w:szCs w:val="22"/>
        </w:rPr>
        <w:t>建立运动障碍专病临床数据库，有条件单位可开展生物样本资源建设</w:t>
      </w:r>
      <w:r>
        <w:rPr>
          <w:rFonts w:hint="eastAsia" w:hAnsi="宋体" w:cstheme="minorBidi"/>
          <w:kern w:val="2"/>
          <w:szCs w:val="22"/>
        </w:rPr>
        <w:t>；能接收进修人员，承担区域内医务人员培训；与区域内各级中心紧密协作，开展和参与远程会诊及教学，积极参与学术交流。</w:t>
      </w:r>
    </w:p>
    <w:p>
      <w:pPr>
        <w:pStyle w:val="25"/>
        <w:numPr>
          <w:ilvl w:val="0"/>
          <w:numId w:val="0"/>
        </w:numPr>
        <w:spacing w:before="120" w:beforeLines="50" w:after="120" w:afterLines="50"/>
        <w:ind w:left="714"/>
        <w:rPr>
          <w:rFonts w:hint="eastAsia"/>
        </w:rPr>
      </w:pPr>
      <w:bookmarkStart w:id="40" w:name="_Toc237988309"/>
      <w:r>
        <w:rPr>
          <w:rFonts w:hint="eastAsia"/>
        </w:rPr>
        <w:t>4.4</w:t>
      </w:r>
      <w:r>
        <w:rPr/>
        <w:sym w:font="Wingdings 2" w:char="F0A3"/>
      </w:r>
      <w:r>
        <w:rPr>
          <w:rFonts w:hint="eastAsia"/>
        </w:rPr>
        <w:t xml:space="preserve"> 高级中心</w:t>
      </w:r>
      <w:bookmarkEnd w:id="40"/>
    </w:p>
    <w:p>
      <w:pPr>
        <w:pStyle w:val="23"/>
        <w:ind w:firstLine="420"/>
      </w:pPr>
      <w:r>
        <w:rPr>
          <w:rFonts w:hint="eastAsia" w:hAnsi="宋体"/>
          <w:color w:val="000000" w:themeColor="text1"/>
          <w:szCs w:val="22"/>
          <w14:textFill>
            <w14:solidFill>
              <w14:schemeClr w14:val="tx1"/>
            </w14:solidFill>
          </w14:textFill>
        </w:rPr>
        <w:t>高级中心主要由具有较强专业能力和区域影响力的三级精神专科医院运动障碍诊疗中心承担，是区域运动障碍疾病诊疗、</w:t>
      </w:r>
      <w:r>
        <w:rPr>
          <w:rFonts w:hAnsi="宋体"/>
          <w:color w:val="000000" w:themeColor="text1"/>
          <w:szCs w:val="22"/>
          <w14:textFill>
            <w14:solidFill>
              <w14:schemeClr w14:val="tx1"/>
            </w14:solidFill>
          </w14:textFill>
        </w:rPr>
        <w:t>技术创新、人才培养和质量控制的重要平台</w:t>
      </w:r>
      <w:r>
        <w:rPr>
          <w:rFonts w:hint="eastAsia" w:hAnsi="宋体"/>
          <w:color w:val="000000" w:themeColor="text1"/>
          <w:szCs w:val="22"/>
          <w14:textFill>
            <w14:solidFill>
              <w14:schemeClr w14:val="tx1"/>
            </w14:solidFill>
          </w14:textFill>
        </w:rPr>
        <w:t>。</w:t>
      </w:r>
      <w:r>
        <w:rPr>
          <w:rFonts w:hAnsi="宋体"/>
          <w:color w:val="000000" w:themeColor="text1"/>
          <w:szCs w:val="22"/>
          <w14:textFill>
            <w14:solidFill>
              <w14:schemeClr w14:val="tx1"/>
            </w14:solidFill>
          </w14:textFill>
        </w:rPr>
        <w:t>高级中心应以神经精神融合诊疗为核心，重点承担复杂及疑难运动障碍疾病的诊断与治疗</w:t>
      </w:r>
      <w:r>
        <w:rPr>
          <w:rFonts w:hint="eastAsia" w:hAnsi="宋体"/>
          <w:color w:val="000000" w:themeColor="text1"/>
          <w:szCs w:val="22"/>
          <w14:textFill>
            <w14:solidFill>
              <w14:schemeClr w14:val="tx1"/>
            </w14:solidFill>
          </w14:textFill>
        </w:rPr>
        <w:t>，</w:t>
      </w:r>
      <w:r>
        <w:rPr>
          <w:rFonts w:hAnsi="宋体"/>
          <w:color w:val="000000" w:themeColor="text1"/>
          <w:szCs w:val="22"/>
          <w14:textFill>
            <w14:solidFill>
              <w14:schemeClr w14:val="tx1"/>
            </w14:solidFill>
          </w14:textFill>
        </w:rPr>
        <w:t>同时承担区域内标准中心和初级中心的技术指导、规范推广、培训交流及科研协作任务。</w:t>
      </w:r>
    </w:p>
    <w:p>
      <w:pPr>
        <w:pStyle w:val="23"/>
        <w:tabs>
          <w:tab w:val="center" w:pos="4201"/>
          <w:tab w:val="right" w:leader="dot" w:pos="9298"/>
        </w:tabs>
        <w:spacing w:line="360" w:lineRule="exact"/>
        <w:ind w:firstLine="420"/>
        <w:rPr>
          <w:rFonts w:hint="eastAsia" w:hAnsi="宋体" w:cstheme="minorBidi"/>
          <w:kern w:val="2"/>
          <w:szCs w:val="22"/>
        </w:rPr>
      </w:pPr>
      <w:r>
        <w:rPr>
          <w:rFonts w:hint="eastAsia" w:hAnsi="宋体" w:cstheme="minorBidi"/>
          <w:kern w:val="2"/>
          <w:szCs w:val="22"/>
        </w:rPr>
        <w:t>a)</w:t>
      </w:r>
      <w:r>
        <w:rPr>
          <w:rFonts w:hAnsi="宋体" w:cstheme="minorBidi"/>
          <w:kern w:val="2"/>
          <w:szCs w:val="22"/>
        </w:rPr>
        <w:t>.一般设施</w:t>
      </w:r>
      <w:r>
        <w:rPr>
          <w:rFonts w:hint="eastAsia" w:hAnsi="宋体" w:cstheme="minorBidi"/>
          <w:kern w:val="2"/>
          <w:szCs w:val="22"/>
        </w:rPr>
        <w:t>：</w:t>
      </w:r>
      <w:r>
        <w:rPr>
          <w:rFonts w:hAnsi="宋体" w:cstheme="minorBidi"/>
          <w:kern w:val="2"/>
          <w:szCs w:val="22"/>
        </w:rPr>
        <w:t>(1)独立设置</w:t>
      </w:r>
      <w:r>
        <w:rPr>
          <w:rFonts w:hint="eastAsia" w:hAnsi="宋体" w:cstheme="minorBidi"/>
          <w:kern w:val="2"/>
          <w:szCs w:val="22"/>
        </w:rPr>
        <w:t>运动障碍</w:t>
      </w:r>
      <w:r>
        <w:rPr>
          <w:rFonts w:hAnsi="宋体" w:cstheme="minorBidi"/>
          <w:kern w:val="2"/>
          <w:szCs w:val="22"/>
        </w:rPr>
        <w:t>专</w:t>
      </w:r>
      <w:r>
        <w:rPr>
          <w:rFonts w:hint="eastAsia" w:hAnsi="宋体" w:cstheme="minorBidi"/>
          <w:kern w:val="2"/>
          <w:szCs w:val="22"/>
        </w:rPr>
        <w:t>病</w:t>
      </w:r>
      <w:r>
        <w:rPr>
          <w:rFonts w:hAnsi="宋体" w:cstheme="minorBidi"/>
          <w:kern w:val="2"/>
          <w:szCs w:val="22"/>
        </w:rPr>
        <w:t>门诊</w:t>
      </w:r>
      <w:r>
        <w:rPr>
          <w:rFonts w:hint="eastAsia" w:hAnsi="宋体" w:cstheme="minorBidi"/>
          <w:kern w:val="2"/>
          <w:szCs w:val="22"/>
        </w:rPr>
        <w:t>，</w:t>
      </w:r>
      <w:r>
        <w:rPr>
          <w:rFonts w:hAnsi="宋体" w:cstheme="minorBidi"/>
          <w:kern w:val="2"/>
          <w:szCs w:val="22"/>
        </w:rPr>
        <w:t>至少设诊室</w:t>
      </w:r>
      <w:r>
        <w:rPr>
          <w:rFonts w:hint="eastAsia" w:hAnsi="宋体" w:cstheme="minorBidi"/>
          <w:kern w:val="2"/>
          <w:szCs w:val="22"/>
        </w:rPr>
        <w:t>2</w:t>
      </w:r>
      <w:r>
        <w:rPr>
          <w:rFonts w:hAnsi="宋体" w:cstheme="minorBidi"/>
          <w:kern w:val="2"/>
          <w:szCs w:val="22"/>
        </w:rPr>
        <w:t>个,另需评估及治疗室等</w:t>
      </w:r>
      <w:r>
        <w:rPr>
          <w:rFonts w:hint="eastAsia" w:hAnsi="宋体" w:cstheme="minorBidi"/>
          <w:kern w:val="2"/>
          <w:szCs w:val="22"/>
        </w:rPr>
        <w:t>；（2）</w:t>
      </w:r>
      <w:r>
        <w:rPr>
          <w:rFonts w:hAnsi="宋体" w:cstheme="minorBidi"/>
          <w:kern w:val="2"/>
          <w:szCs w:val="22"/>
        </w:rPr>
        <w:t>门诊应具备量表评估软件及电子化评估系统，支持运动、精神、认知等多维度评估</w:t>
      </w:r>
      <w:r>
        <w:rPr>
          <w:rFonts w:hint="eastAsia" w:hAnsi="宋体" w:cstheme="minorBidi"/>
          <w:kern w:val="2"/>
          <w:szCs w:val="22"/>
        </w:rPr>
        <w:t>；（3）</w:t>
      </w:r>
      <w:r>
        <w:rPr>
          <w:rFonts w:hAnsi="宋体" w:cstheme="minorBidi"/>
          <w:kern w:val="2"/>
          <w:szCs w:val="22"/>
        </w:rPr>
        <w:t>计算机、数据管理系统及相关信息化设备；</w:t>
      </w:r>
      <w:r>
        <w:rPr>
          <w:rFonts w:hint="eastAsia" w:hAnsi="宋体" w:cstheme="minorBidi"/>
          <w:kern w:val="2"/>
          <w:szCs w:val="22"/>
        </w:rPr>
        <w:t>（4）</w:t>
      </w:r>
      <w:r>
        <w:rPr>
          <w:rFonts w:hAnsi="宋体" w:cstheme="minorBidi"/>
          <w:kern w:val="2"/>
          <w:szCs w:val="22"/>
        </w:rPr>
        <w:t>计算机、数据管理系统及相关信息化设备；</w:t>
      </w:r>
      <w:r>
        <w:rPr>
          <w:rFonts w:hint="eastAsia" w:hAnsi="宋体" w:cstheme="minorBidi"/>
          <w:kern w:val="2"/>
          <w:szCs w:val="22"/>
        </w:rPr>
        <w:t>（5）</w:t>
      </w:r>
      <w:r>
        <w:rPr>
          <w:rFonts w:hAnsi="宋体" w:cstheme="minorBidi"/>
          <w:kern w:val="2"/>
          <w:szCs w:val="22"/>
        </w:rPr>
        <w:t>疾病健康教育资料及患者长期管理档案</w:t>
      </w:r>
      <w:r>
        <w:rPr>
          <w:rFonts w:hint="eastAsia" w:hAnsi="宋体" w:cstheme="minorBidi"/>
          <w:kern w:val="2"/>
          <w:szCs w:val="22"/>
        </w:rPr>
        <w:t>。高级中心宜探索</w:t>
      </w:r>
      <w:r>
        <w:rPr>
          <w:rFonts w:hAnsi="宋体" w:cstheme="minorBidi"/>
          <w:kern w:val="2"/>
          <w:szCs w:val="22"/>
        </w:rPr>
        <w:t>建立“一站式、标准化、多学科”运动障碍诊疗模式，实现患者筛查、评估、诊断、治疗和随访管理的整合。</w:t>
      </w:r>
    </w:p>
    <w:p>
      <w:pPr>
        <w:pStyle w:val="23"/>
        <w:tabs>
          <w:tab w:val="center" w:pos="4201"/>
          <w:tab w:val="right" w:leader="dot" w:pos="9298"/>
        </w:tabs>
        <w:spacing w:line="360" w:lineRule="exact"/>
        <w:ind w:firstLine="420"/>
        <w:rPr>
          <w:rFonts w:hint="eastAsia" w:hAnsi="宋体" w:cstheme="minorBidi"/>
          <w:kern w:val="2"/>
          <w:szCs w:val="22"/>
        </w:rPr>
      </w:pPr>
      <w:r>
        <w:rPr>
          <w:rFonts w:hint="eastAsia" w:hAnsi="宋体" w:cstheme="minorBidi"/>
          <w:kern w:val="2"/>
          <w:szCs w:val="22"/>
        </w:rPr>
        <w:t>b)</w:t>
      </w:r>
      <w:r>
        <w:rPr>
          <w:rFonts w:hAnsi="宋体" w:cstheme="minorBidi"/>
          <w:kern w:val="2"/>
          <w:szCs w:val="22"/>
        </w:rPr>
        <w:t>.专科设备:(1)常规诊疗设备、急救设备、信息化设备等</w:t>
      </w:r>
      <w:r>
        <w:rPr>
          <w:rFonts w:hint="eastAsia" w:hAnsi="宋体" w:cstheme="minorBidi"/>
          <w:kern w:val="2"/>
          <w:szCs w:val="22"/>
        </w:rPr>
        <w:t>，</w:t>
      </w:r>
      <w:r>
        <w:rPr>
          <w:rFonts w:hAnsi="宋体" w:cstheme="minorBidi"/>
          <w:kern w:val="2"/>
          <w:szCs w:val="22"/>
        </w:rPr>
        <w:t>按三级医院规定配备</w:t>
      </w:r>
      <w:r>
        <w:rPr>
          <w:rFonts w:hint="eastAsia" w:hAnsi="宋体" w:cstheme="minorBidi"/>
          <w:kern w:val="2"/>
          <w:szCs w:val="22"/>
        </w:rPr>
        <w:t>；</w:t>
      </w:r>
      <w:r>
        <w:rPr>
          <w:rFonts w:hAnsi="宋体" w:cstheme="minorBidi"/>
          <w:kern w:val="2"/>
          <w:szCs w:val="22"/>
        </w:rPr>
        <w:t>(2)</w:t>
      </w:r>
      <w:r>
        <w:rPr>
          <w:rFonts w:hint="eastAsia" w:hAnsi="宋体" w:cstheme="minorBidi"/>
          <w:kern w:val="2"/>
          <w:szCs w:val="22"/>
        </w:rPr>
        <w:t>精神科药物治疗监测相关设备，包括</w:t>
      </w:r>
      <w:r>
        <w:rPr>
          <w:rFonts w:hint="eastAsia" w:asciiTheme="minorEastAsia" w:hAnsiTheme="minorEastAsia" w:eastAsiaTheme="minorEastAsia"/>
          <w:color w:val="000000"/>
        </w:rPr>
        <w:t>常见精神科药物的血液浓度检测条件；（3）神经影像及相关辅助条件，包括</w:t>
      </w:r>
      <w:r>
        <w:rPr>
          <w:rFonts w:hAnsi="宋体" w:cstheme="minorBidi"/>
          <w:kern w:val="2"/>
          <w:szCs w:val="22"/>
        </w:rPr>
        <w:t>CT/MR(</w:t>
      </w:r>
      <w:r>
        <w:rPr>
          <w:rFonts w:hint="eastAsia" w:hAnsi="宋体" w:cstheme="minorBidi"/>
          <w:kern w:val="2"/>
          <w:szCs w:val="22"/>
        </w:rPr>
        <w:t>推荐</w:t>
      </w:r>
      <w:r>
        <w:rPr>
          <w:rFonts w:hAnsi="宋体" w:cstheme="minorBidi"/>
          <w:kern w:val="2"/>
          <w:szCs w:val="22"/>
        </w:rPr>
        <w:t>3.0T)、</w:t>
      </w:r>
      <w:r>
        <w:rPr>
          <w:rFonts w:asciiTheme="minorEastAsia" w:hAnsiTheme="minorEastAsia" w:eastAsiaTheme="minorEastAsia"/>
          <w:color w:val="000000"/>
        </w:rPr>
        <w:t>多导</w:t>
      </w:r>
      <w:r>
        <w:rPr>
          <w:rFonts w:hint="eastAsia" w:asciiTheme="minorEastAsia" w:hAnsiTheme="minorEastAsia" w:eastAsiaTheme="minorEastAsia"/>
          <w:color w:val="000000"/>
        </w:rPr>
        <w:t>睡眠监</w:t>
      </w:r>
      <w:r>
        <w:rPr>
          <w:rFonts w:asciiTheme="minorEastAsia" w:hAnsiTheme="minorEastAsia" w:eastAsiaTheme="minorEastAsia"/>
          <w:color w:val="000000"/>
        </w:rPr>
        <w:t>测仪</w:t>
      </w:r>
      <w:r>
        <w:rPr>
          <w:rFonts w:hint="eastAsia" w:hAnsi="宋体" w:cstheme="minorBidi"/>
          <w:kern w:val="2"/>
          <w:szCs w:val="22"/>
        </w:rPr>
        <w:t>；</w:t>
      </w:r>
      <w:r>
        <w:rPr>
          <w:rFonts w:hAnsi="宋体" w:cstheme="minorBidi"/>
          <w:kern w:val="2"/>
          <w:szCs w:val="22"/>
        </w:rPr>
        <w:t>(</w:t>
      </w:r>
      <w:r>
        <w:rPr>
          <w:rFonts w:hint="eastAsia" w:hAnsi="宋体" w:cstheme="minorBidi"/>
          <w:kern w:val="2"/>
          <w:szCs w:val="22"/>
        </w:rPr>
        <w:t>4</w:t>
      </w:r>
      <w:r>
        <w:rPr>
          <w:rFonts w:hAnsi="宋体" w:cstheme="minorBidi"/>
          <w:kern w:val="2"/>
          <w:szCs w:val="22"/>
        </w:rPr>
        <w:t>)鼓励配置</w:t>
      </w:r>
      <w:r>
        <w:rPr>
          <w:rFonts w:hint="eastAsia" w:hAnsi="宋体" w:cstheme="minorBidi"/>
          <w:kern w:val="2"/>
          <w:szCs w:val="22"/>
        </w:rPr>
        <w:t>运动障碍专业专科评估或治疗设备</w:t>
      </w:r>
      <w:r>
        <w:rPr>
          <w:rFonts w:hAnsi="宋体" w:cstheme="minorBidi"/>
          <w:kern w:val="2"/>
          <w:szCs w:val="22"/>
        </w:rPr>
        <w:t>(至少具备三项)</w:t>
      </w:r>
      <w:r>
        <w:rPr>
          <w:rFonts w:hint="eastAsia" w:hAnsi="宋体" w:cstheme="minorBidi"/>
          <w:kern w:val="2"/>
          <w:szCs w:val="22"/>
        </w:rPr>
        <w:t>：</w:t>
      </w:r>
      <w:r>
        <w:rPr>
          <w:rFonts w:hAnsi="宋体" w:cstheme="minorBidi"/>
          <w:kern w:val="2"/>
          <w:szCs w:val="22"/>
        </w:rPr>
        <w:t>步态分析仪、经颅磁</w:t>
      </w:r>
      <w:r>
        <w:rPr>
          <w:rFonts w:hint="eastAsia" w:hAnsi="宋体" w:cstheme="minorBidi"/>
          <w:kern w:val="2"/>
          <w:szCs w:val="22"/>
        </w:rPr>
        <w:t>刺激或经颅</w:t>
      </w:r>
      <w:r>
        <w:rPr>
          <w:rFonts w:hAnsi="宋体" w:cstheme="minorBidi"/>
          <w:kern w:val="2"/>
          <w:szCs w:val="22"/>
        </w:rPr>
        <w:t>电刺激</w:t>
      </w:r>
      <w:r>
        <w:rPr>
          <w:rFonts w:hint="eastAsia" w:hAnsi="宋体" w:cstheme="minorBidi"/>
          <w:kern w:val="2"/>
          <w:szCs w:val="22"/>
        </w:rPr>
        <w:t>设备</w:t>
      </w:r>
      <w:r>
        <w:rPr>
          <w:rFonts w:hAnsi="宋体" w:cstheme="minorBidi"/>
          <w:kern w:val="2"/>
          <w:szCs w:val="22"/>
        </w:rPr>
        <w:t>、</w:t>
      </w:r>
      <w:r>
        <w:rPr>
          <w:rFonts w:hint="eastAsia" w:hAnsi="宋体" w:cstheme="minorBidi"/>
          <w:kern w:val="2"/>
          <w:szCs w:val="22"/>
        </w:rPr>
        <w:t>肌电图、视频脑电监测、</w:t>
      </w:r>
      <w:r>
        <w:rPr>
          <w:rFonts w:hAnsi="宋体" w:cstheme="minorBidi"/>
          <w:kern w:val="2"/>
          <w:szCs w:val="22"/>
        </w:rPr>
        <w:t>多巴胺递质系统功能显像设备、间位碘代苄胍(MIBG)显像</w:t>
      </w:r>
      <w:r>
        <w:rPr>
          <w:rFonts w:hint="eastAsia" w:hAnsi="宋体" w:cstheme="minorBidi"/>
          <w:kern w:val="2"/>
          <w:szCs w:val="22"/>
        </w:rPr>
        <w:t>等</w:t>
      </w:r>
      <w:r>
        <w:rPr>
          <w:rFonts w:hAnsi="宋体" w:cstheme="minorBidi"/>
          <w:kern w:val="2"/>
          <w:szCs w:val="22"/>
        </w:rPr>
        <w:t xml:space="preserve">。 </w:t>
      </w:r>
    </w:p>
    <w:p>
      <w:pPr>
        <w:pStyle w:val="23"/>
        <w:tabs>
          <w:tab w:val="center" w:pos="4201"/>
          <w:tab w:val="right" w:leader="dot" w:pos="9298"/>
        </w:tabs>
        <w:spacing w:line="360" w:lineRule="exact"/>
        <w:ind w:firstLine="420"/>
        <w:rPr>
          <w:rFonts w:hint="eastAsia" w:hAnsi="宋体" w:cstheme="minorBidi"/>
          <w:kern w:val="2"/>
          <w:szCs w:val="22"/>
        </w:rPr>
      </w:pPr>
      <w:r>
        <w:rPr>
          <w:rFonts w:hint="eastAsia" w:hAnsi="宋体" w:cstheme="minorBidi"/>
          <w:kern w:val="2"/>
          <w:szCs w:val="22"/>
        </w:rPr>
        <w:t>c)</w:t>
      </w:r>
      <w:r>
        <w:rPr>
          <w:rFonts w:hAnsi="宋体" w:cstheme="minorBidi"/>
          <w:kern w:val="2"/>
          <w:szCs w:val="22"/>
        </w:rPr>
        <w:t>.专科技术:(1)基本专科技术</w:t>
      </w:r>
      <w:r>
        <w:rPr>
          <w:rFonts w:hint="eastAsia" w:hAnsi="宋体" w:cstheme="minorBidi"/>
          <w:kern w:val="2"/>
          <w:szCs w:val="22"/>
        </w:rPr>
        <w:t>：</w:t>
      </w:r>
      <w:r>
        <w:rPr>
          <w:rFonts w:hAnsi="宋体" w:cstheme="minorBidi"/>
          <w:kern w:val="2"/>
          <w:szCs w:val="22"/>
        </w:rPr>
        <w:t>①能够开展</w:t>
      </w:r>
      <w:r>
        <w:rPr>
          <w:rFonts w:hint="eastAsia" w:hAnsi="宋体" w:cstheme="minorBidi"/>
          <w:kern w:val="2"/>
          <w:szCs w:val="22"/>
        </w:rPr>
        <w:t>药源性</w:t>
      </w:r>
      <w:r>
        <w:rPr>
          <w:rFonts w:hAnsi="宋体" w:cstheme="minorBidi"/>
          <w:kern w:val="2"/>
          <w:szCs w:val="22"/>
        </w:rPr>
        <w:t>及</w:t>
      </w:r>
      <w:r>
        <w:rPr>
          <w:rFonts w:hint="eastAsia" w:hAnsi="宋体" w:cstheme="minorBidi"/>
          <w:kern w:val="2"/>
          <w:szCs w:val="22"/>
        </w:rPr>
        <w:t>其他</w:t>
      </w:r>
      <w:r>
        <w:rPr>
          <w:rFonts w:hAnsi="宋体" w:cstheme="minorBidi"/>
          <w:kern w:val="2"/>
          <w:szCs w:val="22"/>
        </w:rPr>
        <w:t>运动障碍</w:t>
      </w:r>
      <w:r>
        <w:rPr>
          <w:rFonts w:hint="eastAsia" w:hAnsi="宋体" w:cstheme="minorBidi"/>
          <w:kern w:val="2"/>
          <w:szCs w:val="22"/>
        </w:rPr>
        <w:t>疾病</w:t>
      </w:r>
      <w:r>
        <w:rPr>
          <w:rFonts w:hAnsi="宋体" w:cstheme="minorBidi"/>
          <w:kern w:val="2"/>
          <w:szCs w:val="22"/>
        </w:rPr>
        <w:t>一般诊断、鉴别诊断与药物治疗工作</w:t>
      </w:r>
      <w:r>
        <w:rPr>
          <w:rFonts w:hint="eastAsia" w:hAnsi="宋体" w:cstheme="minorBidi"/>
          <w:kern w:val="2"/>
          <w:szCs w:val="22"/>
        </w:rPr>
        <w:t>；</w:t>
      </w:r>
      <w:r>
        <w:rPr>
          <w:rFonts w:hAnsi="宋体" w:cstheme="minorBidi"/>
          <w:kern w:val="2"/>
          <w:szCs w:val="22"/>
        </w:rPr>
        <w:t>②建立</w:t>
      </w:r>
      <w:r>
        <w:rPr>
          <w:rFonts w:hint="eastAsia" w:hAnsi="宋体" w:cstheme="minorBidi"/>
          <w:kern w:val="2"/>
          <w:szCs w:val="22"/>
        </w:rPr>
        <w:t>标准化、多维度评估体系</w:t>
      </w:r>
      <w:r>
        <w:rPr>
          <w:rFonts w:hAnsi="宋体" w:cstheme="minorBidi"/>
          <w:kern w:val="2"/>
          <w:szCs w:val="22"/>
        </w:rPr>
        <w:t>,包括</w:t>
      </w:r>
      <w:r>
        <w:rPr>
          <w:rFonts w:hint="eastAsia" w:hAnsi="宋体" w:cstheme="minorBidi"/>
          <w:kern w:val="2"/>
          <w:szCs w:val="22"/>
        </w:rPr>
        <w:t>运动症状、精神症状、认知功能、睡眠障碍、自主神经功能、跌倒及功能状态评估；</w:t>
      </w:r>
      <w:r>
        <w:rPr>
          <w:rFonts w:hAnsi="宋体" w:cstheme="minorBidi"/>
          <w:kern w:val="2"/>
          <w:szCs w:val="22"/>
        </w:rPr>
        <w:t>③</w:t>
      </w:r>
      <w:r>
        <w:rPr>
          <w:rFonts w:hint="eastAsia" w:hAnsi="宋体" w:cstheme="minorBidi"/>
          <w:kern w:val="2"/>
          <w:szCs w:val="22"/>
        </w:rPr>
        <w:t>具备复杂病例个体化治疗能力，包括：精神科药物优化调整、药源性运动障碍综合管理、神经调控治疗评估及管理、康复治疗方案制定；</w:t>
      </w:r>
      <w:r>
        <w:rPr>
          <w:rFonts w:hAnsi="宋体" w:cstheme="minorBidi"/>
          <w:kern w:val="2"/>
          <w:szCs w:val="22"/>
        </w:rPr>
        <w:t>④能够开展</w:t>
      </w:r>
      <w:r>
        <w:rPr>
          <w:rFonts w:hint="eastAsia" w:hAnsi="宋体" w:cstheme="minorBidi"/>
          <w:kern w:val="2"/>
          <w:szCs w:val="22"/>
        </w:rPr>
        <w:t>无创</w:t>
      </w:r>
      <w:r>
        <w:rPr>
          <w:rFonts w:hAnsi="宋体" w:cstheme="minorBidi"/>
          <w:kern w:val="2"/>
          <w:szCs w:val="22"/>
        </w:rPr>
        <w:t>神经调控治疗的评估和</w:t>
      </w:r>
      <w:r>
        <w:rPr>
          <w:rFonts w:hint="eastAsia" w:hAnsi="宋体" w:cstheme="minorBidi"/>
          <w:kern w:val="2"/>
          <w:szCs w:val="22"/>
        </w:rPr>
        <w:t>治疗；</w:t>
      </w:r>
      <w:r>
        <w:rPr>
          <w:rFonts w:asciiTheme="minorEastAsia" w:hAnsiTheme="minorEastAsia" w:eastAsiaTheme="minorEastAsia" w:cstheme="minorBidi"/>
          <w:kern w:val="2"/>
          <w:sz w:val="24"/>
          <w:szCs w:val="24"/>
        </w:rPr>
        <w:sym w:font="Wingdings 2" w:char="F06E"/>
      </w:r>
      <w:r>
        <w:rPr>
          <w:rFonts w:hAnsi="宋体" w:cstheme="minorBidi"/>
          <w:kern w:val="2"/>
          <w:szCs w:val="22"/>
        </w:rPr>
        <w:t>指导标准中心和初级中心开展规范化诊疗和长期管理。(2)进阶专科技术</w:t>
      </w:r>
      <w:r>
        <w:rPr>
          <w:rFonts w:hint="eastAsia" w:hAnsi="宋体" w:cstheme="minorBidi"/>
          <w:kern w:val="2"/>
          <w:szCs w:val="22"/>
        </w:rPr>
        <w:t>：</w:t>
      </w:r>
      <w:r>
        <w:rPr>
          <w:rFonts w:hAnsi="宋体" w:cstheme="minorBidi"/>
          <w:kern w:val="2"/>
          <w:szCs w:val="22"/>
        </w:rPr>
        <w:t>①药源性运动障碍精准评估技术：嗅觉测试、经颅黑质超声、震颤分析</w:t>
      </w:r>
      <w:r>
        <w:rPr>
          <w:rFonts w:hint="eastAsia" w:hAnsi="宋体" w:cstheme="minorBidi"/>
          <w:kern w:val="2"/>
          <w:szCs w:val="22"/>
        </w:rPr>
        <w:t>等；</w:t>
      </w:r>
      <w:r>
        <w:rPr>
          <w:rFonts w:hAnsi="宋体" w:cstheme="minorBidi"/>
          <w:kern w:val="2"/>
          <w:szCs w:val="22"/>
        </w:rPr>
        <w:t>②</w:t>
      </w:r>
      <w:r>
        <w:rPr>
          <w:rFonts w:hint="eastAsia" w:hAnsi="宋体" w:cstheme="minorBidi"/>
          <w:kern w:val="2"/>
          <w:szCs w:val="22"/>
        </w:rPr>
        <w:t>运动障碍</w:t>
      </w:r>
      <w:r>
        <w:rPr>
          <w:rFonts w:hAnsi="宋体" w:cstheme="minorBidi"/>
          <w:kern w:val="2"/>
          <w:szCs w:val="22"/>
        </w:rPr>
        <w:t>治疗技术</w:t>
      </w:r>
      <w:r>
        <w:rPr>
          <w:rFonts w:hint="eastAsia" w:hAnsi="宋体" w:cstheme="minorBidi"/>
          <w:kern w:val="2"/>
          <w:szCs w:val="22"/>
        </w:rPr>
        <w:t>：</w:t>
      </w:r>
      <w:r>
        <w:rPr>
          <w:rFonts w:hAnsi="宋体" w:cstheme="minorBidi"/>
          <w:kern w:val="2"/>
          <w:szCs w:val="22"/>
        </w:rPr>
        <w:t>康复治疗、经颅磁</w:t>
      </w:r>
      <w:r>
        <w:rPr>
          <w:rFonts w:hint="eastAsia" w:hAnsi="宋体" w:cstheme="minorBidi"/>
          <w:kern w:val="2"/>
          <w:szCs w:val="22"/>
        </w:rPr>
        <w:t>刺激、经颅</w:t>
      </w:r>
      <w:r>
        <w:rPr>
          <w:rFonts w:hAnsi="宋体" w:cstheme="minorBidi"/>
          <w:kern w:val="2"/>
          <w:szCs w:val="22"/>
        </w:rPr>
        <w:t>电刺激</w:t>
      </w:r>
      <w:r>
        <w:rPr>
          <w:rFonts w:hint="eastAsia" w:hAnsi="宋体" w:cstheme="minorBidi"/>
          <w:kern w:val="2"/>
          <w:szCs w:val="22"/>
        </w:rPr>
        <w:t>等技术；</w:t>
      </w:r>
      <w:r>
        <w:rPr>
          <w:rFonts w:hAnsi="宋体" w:cstheme="minorBidi"/>
          <w:kern w:val="2"/>
          <w:szCs w:val="22"/>
        </w:rPr>
        <w:t>③</w:t>
      </w:r>
      <w:r>
        <w:rPr>
          <w:rFonts w:hint="eastAsia" w:hAnsi="宋体" w:cstheme="minorBidi"/>
          <w:kern w:val="2"/>
          <w:szCs w:val="22"/>
        </w:rPr>
        <w:t>鼓励</w:t>
      </w:r>
      <w:r>
        <w:rPr>
          <w:rFonts w:hAnsi="宋体" w:cstheme="minorBidi"/>
          <w:kern w:val="2"/>
          <w:szCs w:val="22"/>
        </w:rPr>
        <w:t>有条件的</w:t>
      </w:r>
      <w:r>
        <w:rPr>
          <w:rFonts w:hint="eastAsia" w:hAnsi="宋体" w:cstheme="minorBidi"/>
          <w:kern w:val="2"/>
          <w:szCs w:val="22"/>
        </w:rPr>
        <w:t>中心</w:t>
      </w:r>
      <w:r>
        <w:rPr>
          <w:rFonts w:hAnsi="宋体" w:cstheme="minorBidi"/>
          <w:kern w:val="2"/>
          <w:szCs w:val="22"/>
        </w:rPr>
        <w:t>建议开展肉毒毒素治疗技术、DBS术前评估及术后程控管理</w:t>
      </w:r>
      <w:r>
        <w:rPr>
          <w:rFonts w:hint="eastAsia" w:hAnsi="宋体" w:cstheme="minorBidi"/>
          <w:kern w:val="2"/>
          <w:szCs w:val="22"/>
        </w:rPr>
        <w:t>等</w:t>
      </w:r>
      <w:r>
        <w:rPr>
          <w:rFonts w:hAnsi="宋体" w:cstheme="minorBidi"/>
          <w:kern w:val="2"/>
          <w:szCs w:val="22"/>
        </w:rPr>
        <w:t>。</w:t>
      </w:r>
    </w:p>
    <w:p>
      <w:pPr>
        <w:pStyle w:val="23"/>
        <w:tabs>
          <w:tab w:val="center" w:pos="4201"/>
          <w:tab w:val="right" w:leader="dot" w:pos="9298"/>
        </w:tabs>
        <w:spacing w:line="360" w:lineRule="exact"/>
        <w:ind w:firstLine="420"/>
        <w:rPr>
          <w:rFonts w:hint="eastAsia" w:asciiTheme="minorEastAsia" w:hAnsiTheme="minorEastAsia" w:eastAsiaTheme="minorEastAsia"/>
          <w:color w:val="000000"/>
        </w:rPr>
      </w:pPr>
      <w:r>
        <w:rPr>
          <w:rFonts w:hint="eastAsia" w:hAnsi="宋体" w:cstheme="minorBidi"/>
          <w:kern w:val="2"/>
          <w:szCs w:val="22"/>
        </w:rPr>
        <w:t>d)</w:t>
      </w:r>
      <w:r>
        <w:rPr>
          <w:rFonts w:hAnsi="宋体" w:cstheme="minorBidi"/>
          <w:kern w:val="2"/>
          <w:szCs w:val="22"/>
        </w:rPr>
        <w:t>.人员配置</w:t>
      </w:r>
      <w:r>
        <w:rPr>
          <w:rFonts w:hint="eastAsia" w:hAnsi="宋体" w:cstheme="minorBidi"/>
          <w:kern w:val="2"/>
          <w:szCs w:val="22"/>
        </w:rPr>
        <w:t>：</w:t>
      </w:r>
      <w:r>
        <w:rPr>
          <w:rFonts w:hAnsi="宋体" w:cstheme="minorBidi"/>
          <w:kern w:val="2"/>
          <w:szCs w:val="22"/>
        </w:rPr>
        <w:t>高级中心负责人应</w:t>
      </w:r>
      <w:r>
        <w:rPr>
          <w:rFonts w:hint="eastAsia" w:hAnsi="宋体" w:cstheme="minorBidi"/>
          <w:kern w:val="2"/>
          <w:szCs w:val="22"/>
        </w:rPr>
        <w:t>具备正高级专业技术职称和研究生导师资格，具备丰富的临床工作经历、相应的运动障碍专业水平和学术影响力。</w:t>
      </w:r>
      <w:r>
        <w:rPr>
          <w:rFonts w:hAnsi="宋体" w:cstheme="minorBidi"/>
          <w:kern w:val="2"/>
          <w:szCs w:val="22"/>
        </w:rPr>
        <w:t>运动障碍专业团队</w:t>
      </w:r>
      <w:r>
        <w:rPr>
          <w:rFonts w:hint="eastAsia" w:hAnsi="宋体" w:cstheme="minorBidi"/>
          <w:kern w:val="2"/>
          <w:szCs w:val="22"/>
        </w:rPr>
        <w:t>应结构合理，</w:t>
      </w:r>
      <w:r>
        <w:rPr>
          <w:rFonts w:hAnsi="宋体" w:cstheme="minorBidi"/>
          <w:kern w:val="2"/>
          <w:szCs w:val="22"/>
        </w:rPr>
        <w:t>包括神经内科专科医师</w:t>
      </w:r>
      <w:r>
        <w:rPr>
          <w:rFonts w:hint="eastAsia" w:hAnsi="宋体" w:cstheme="minorBidi"/>
          <w:kern w:val="2"/>
          <w:szCs w:val="22"/>
        </w:rPr>
        <w:t>和精神科专科医师</w:t>
      </w:r>
      <w:r>
        <w:rPr>
          <w:rFonts w:hAnsi="宋体" w:cstheme="minorBidi"/>
          <w:kern w:val="2"/>
          <w:szCs w:val="22"/>
        </w:rPr>
        <w:t>、护理专业人员</w:t>
      </w:r>
      <w:r>
        <w:rPr>
          <w:rFonts w:hint="eastAsia" w:hAnsi="宋体" w:cstheme="minorBidi"/>
          <w:kern w:val="2"/>
          <w:szCs w:val="22"/>
        </w:rPr>
        <w:t>，鼓励团队纳入</w:t>
      </w:r>
      <w:r>
        <w:rPr>
          <w:rFonts w:hAnsi="宋体" w:cstheme="minorBidi"/>
          <w:kern w:val="2"/>
          <w:szCs w:val="22"/>
        </w:rPr>
        <w:t>康复医学、影像医学、营养</w:t>
      </w:r>
      <w:r>
        <w:rPr>
          <w:rFonts w:hint="eastAsia" w:hAnsi="宋体" w:cstheme="minorBidi"/>
          <w:kern w:val="2"/>
          <w:szCs w:val="22"/>
        </w:rPr>
        <w:t>学专科医师</w:t>
      </w:r>
      <w:r>
        <w:rPr>
          <w:rFonts w:hAnsi="宋体" w:cstheme="minorBidi"/>
          <w:kern w:val="2"/>
          <w:szCs w:val="22"/>
        </w:rPr>
        <w:t>。团队骨干成员应接受省级及以上专业机构开展的运动障碍疾病系统培训。</w:t>
      </w:r>
    </w:p>
    <w:p>
      <w:pPr>
        <w:pStyle w:val="23"/>
        <w:tabs>
          <w:tab w:val="center" w:pos="4201"/>
          <w:tab w:val="right" w:leader="dot" w:pos="9298"/>
        </w:tabs>
        <w:spacing w:line="360" w:lineRule="exact"/>
        <w:ind w:firstLine="420"/>
        <w:rPr>
          <w:rFonts w:hint="eastAsia" w:hAnsi="宋体" w:cstheme="minorBidi"/>
          <w:kern w:val="2"/>
          <w:szCs w:val="22"/>
        </w:rPr>
      </w:pPr>
      <w:r>
        <w:rPr>
          <w:rFonts w:hint="eastAsia" w:hAnsi="宋体" w:cstheme="minorBidi"/>
          <w:kern w:val="2"/>
          <w:szCs w:val="22"/>
        </w:rPr>
        <w:t>e)</w:t>
      </w:r>
      <w:r>
        <w:rPr>
          <w:rFonts w:hAnsi="宋体" w:cstheme="minorBidi"/>
          <w:kern w:val="2"/>
          <w:szCs w:val="22"/>
        </w:rPr>
        <w:t>.</w:t>
      </w:r>
      <w:r>
        <w:rPr>
          <w:rFonts w:hint="eastAsia" w:hAnsi="宋体"/>
          <w:color w:val="000000" w:themeColor="text1"/>
          <w:szCs w:val="22"/>
          <w14:textFill>
            <w14:solidFill>
              <w14:schemeClr w14:val="tx1"/>
            </w14:solidFill>
          </w14:textFill>
        </w:rPr>
        <w:t>管理内容：（1）开展复杂及疑难运动障碍疾病的诊断、鉴别诊断和精准治疗，包括诊断不明确、运动症状与精神症状交织、治疗反应不佳及严重药物相关不良反应患者；（2）建立多学科协作诊疗模式，组织精神科、神经内科、康复医学、影像医学、药学等专业开展联合评估和治疗；（3）开展运动障碍疾病相关高级评估技术及治疗技术，为复杂病例提供个体化诊疗方案；（4）承担区域内标准中心和初级中心的技术指导、人员培训、质量控制及双向转诊管理；（5）建立运动障碍疾病临床数据库和研究平台，开展临床研究、机制探索及专业人才培养；（6）</w:t>
      </w:r>
      <w:r>
        <w:rPr>
          <w:rFonts w:hint="eastAsia" w:hAnsi="宋体" w:cstheme="minorBidi"/>
          <w:kern w:val="2"/>
          <w:szCs w:val="22"/>
        </w:rPr>
        <w:t>每年定期开展患者教育及义诊活动。</w:t>
      </w:r>
    </w:p>
    <w:p>
      <w:pPr>
        <w:pStyle w:val="23"/>
        <w:tabs>
          <w:tab w:val="center" w:pos="4201"/>
          <w:tab w:val="right" w:leader="dot" w:pos="9298"/>
        </w:tabs>
        <w:spacing w:line="360" w:lineRule="exact"/>
        <w:ind w:firstLine="420"/>
        <w:rPr>
          <w:rFonts w:hint="eastAsia" w:hAnsi="宋体" w:cstheme="minorBidi"/>
          <w:kern w:val="2"/>
          <w:szCs w:val="22"/>
        </w:rPr>
      </w:pPr>
      <w:r>
        <w:rPr>
          <w:rFonts w:hint="eastAsia" w:hAnsi="宋体" w:cstheme="minorBidi"/>
          <w:kern w:val="2"/>
          <w:szCs w:val="22"/>
        </w:rPr>
        <w:t>f).科研、教学、学术交流：近3年以第一作者或通讯作者单位发表过运动障碍领域的学术论文并主持科研项目；</w:t>
      </w:r>
      <w:r>
        <w:rPr>
          <w:rFonts w:hAnsi="宋体" w:cstheme="minorBidi"/>
          <w:kern w:val="2"/>
          <w:szCs w:val="22"/>
        </w:rPr>
        <w:t>建立运动障碍疾病临床数据库及研究平台；</w:t>
      </w:r>
      <w:r>
        <w:rPr>
          <w:rFonts w:hint="eastAsia" w:hAnsi="宋体" w:cstheme="minorBidi"/>
          <w:kern w:val="2"/>
          <w:szCs w:val="22"/>
        </w:rPr>
        <w:t>接收进修人员，</w:t>
      </w:r>
      <w:r>
        <w:rPr>
          <w:rFonts w:hAnsi="宋体" w:cstheme="minorBidi"/>
          <w:kern w:val="2"/>
          <w:szCs w:val="22"/>
        </w:rPr>
        <w:t>承担区域内专业人才培养和技术推广</w:t>
      </w:r>
      <w:r>
        <w:rPr>
          <w:rFonts w:hint="eastAsia" w:hAnsi="宋体" w:cstheme="minorBidi"/>
          <w:kern w:val="2"/>
          <w:szCs w:val="22"/>
        </w:rPr>
        <w:t>，开展运动障碍领域国家级继续教育项目；与区域内各级中心紧密协作，鼓励开展远程会诊及教学，积极参与学术交流。</w:t>
      </w:r>
      <w:r>
        <w:rPr>
          <w:rFonts w:hAnsi="宋体" w:cstheme="minorBidi"/>
          <w:kern w:val="2"/>
          <w:szCs w:val="22"/>
        </w:rPr>
        <w:t>鼓励高级中心开展多中心临床研究，推动精神专科医院运动障碍疾病诊疗模式创新。</w:t>
      </w:r>
    </w:p>
    <w:p>
      <w:pPr>
        <w:pStyle w:val="23"/>
        <w:spacing w:line="360" w:lineRule="exact"/>
        <w:ind w:firstLine="409" w:firstLineChars="195"/>
        <w:rPr>
          <w:rFonts w:hint="eastAsia"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综上，</w:t>
      </w:r>
      <w:r>
        <w:rPr>
          <w:rFonts w:hAnsi="宋体"/>
          <w:color w:val="000000" w:themeColor="text1"/>
          <w14:textFill>
            <w14:solidFill>
              <w14:schemeClr w14:val="tx1"/>
            </w14:solidFill>
          </w14:textFill>
        </w:rPr>
        <w:t>精神专科医院运动障碍中心应建立上下联动、双向转诊的协作机制。初级中心负责患者筛查、基础管理和长期随访；标准中心负责疾病诊断、规范治疗和区域诊疗指导；高级中心负责疑难病例诊治、技术推广、人才培养和科研创新。通过三级中心协同运行，实现运动障碍疾病从早期识别、规范诊疗到长期管理的连续医疗服务，提高精神专科医院对神经精神交叉疾病的综合管理能力。</w:t>
      </w:r>
    </w:p>
    <w:p>
      <w:pPr>
        <w:pStyle w:val="22"/>
      </w:pPr>
      <w:bookmarkStart w:id="41" w:name="_Toc237988310"/>
      <w:r>
        <w:rPr>
          <w:rFonts w:hint="eastAsia"/>
        </w:rPr>
        <w:t xml:space="preserve">5. </w:t>
      </w:r>
      <w:r>
        <w:t>建立运动障碍病例登记系统和数据库</w:t>
      </w:r>
      <w:bookmarkEnd w:id="41"/>
    </w:p>
    <w:p>
      <w:pPr>
        <w:pStyle w:val="23"/>
        <w:spacing w:line="360" w:lineRule="exact"/>
        <w:ind w:firstLine="420"/>
      </w:pPr>
      <w:r>
        <w:rPr>
          <w:rFonts w:hint="eastAsia"/>
        </w:rPr>
        <w:t>标准中心及高级中心应建立运动障碍疾病病例登记系统和临床数据库，对精神专科医院运动障碍患者进行规范化登记、管理和随访。数据库建设应遵循统一标准、规范采集、动态管理、资源共享的原则，由专人负责数据录入、维护和质量管理。数据库内容应包括但不限于：患者基本信息，精神疾病诊断及病程信息，精神科药物使用情况，运动障碍相关临床资料（包括运动症状类型、起病时间、严重程度及变化情况），精神症状、认知功能及其他非运动症状评估结果，神经系统查体及相关辅助检查结果，诊断、治疗方案及治疗反应，随访信息，必要时采集和保存相关生物样本，包括血液、尿液、脑脊液等。</w:t>
      </w:r>
    </w:p>
    <w:p>
      <w:pPr>
        <w:pStyle w:val="23"/>
        <w:spacing w:line="360" w:lineRule="exact"/>
        <w:ind w:firstLine="420"/>
      </w:pPr>
      <w:r>
        <w:rPr>
          <w:rFonts w:hint="eastAsia"/>
        </w:rPr>
        <w:t>各级中心应根据职责开展数据库建设和管理：初级中心负责患者筛查、基础信息登记和随访资料采集；标准中心负责区域患者数据整合、病例质量管理及临床资料完善；高级中心负责数据库建设标准制定、数据质量控制、区域数据汇总及科研应用。通过建立规范化病例登记系统和数据库，为精神专科医院运动障碍疾病的临床管理、质量评价、科学研究和学科发展提供数据支持。</w:t>
      </w:r>
    </w:p>
    <w:p>
      <w:pPr>
        <w:pStyle w:val="22"/>
      </w:pPr>
      <w:bookmarkStart w:id="42" w:name="_Toc237988311"/>
      <w:r>
        <w:rPr>
          <w:rFonts w:hint="eastAsia"/>
        </w:rPr>
        <w:t xml:space="preserve">6. </w:t>
      </w:r>
      <w:r>
        <w:t>评估与认证考核制度</w:t>
      </w:r>
      <w:bookmarkEnd w:id="42"/>
      <w:r>
        <w:t xml:space="preserve"> </w:t>
      </w:r>
    </w:p>
    <w:p>
      <w:pPr>
        <w:pStyle w:val="23"/>
        <w:spacing w:line="360" w:lineRule="exact"/>
        <w:ind w:firstLine="420"/>
      </w:pPr>
      <w:r>
        <w:rPr>
          <w:rFonts w:hint="eastAsia"/>
        </w:rPr>
        <w:t>精神专科医院运动障碍中心三级管理体系应建立规范化评估与认证制度，由全国运动障碍疾病相关质量控制专家组负责组织实施。质量控制专家组应由精神专科医院神经科、精神科运动障碍领域专家组成，并根据工作需要纳入功能神经外科、康复医学、医学影像、临床药学等相关领域专家。各级中心应按照统一标准接受评估认证：（1）高级中心和标准中心原则上接受定期评估认证；（2）高级中心负责对区域内标准中心和初级中心开展日常质量管理、技术指导和培训；（3）初级中心和标准中心可依据建设条件和能力水平，通过评估认证逐级提升中心等级。</w:t>
      </w:r>
      <w:bookmarkEnd w:id="20"/>
      <w:bookmarkEnd w:id="21"/>
      <w:bookmarkStart w:id="43" w:name="_Toc509933873"/>
      <w:bookmarkStart w:id="44" w:name="_Toc510534552"/>
      <w:r>
        <w:rPr>
          <w:rFonts w:hint="eastAsia"/>
        </w:rPr>
        <w:t>评估内容主要包括：</w:t>
      </w:r>
    </w:p>
    <w:p>
      <w:pPr>
        <w:pStyle w:val="23"/>
        <w:spacing w:line="360" w:lineRule="exact"/>
        <w:ind w:firstLine="420"/>
      </w:pPr>
      <w:r>
        <w:rPr>
          <w:rFonts w:hint="eastAsia"/>
        </w:rPr>
        <w:t>（1）医疗服务能力，包括：运动障碍专病门诊建设情况、年度运动障碍患者诊疗数量、疾病规范诊断率、标准化评估开展情况、合理用药情况、患者随访管理情况等；</w:t>
      </w:r>
    </w:p>
    <w:p>
      <w:pPr>
        <w:pStyle w:val="23"/>
        <w:spacing w:line="360" w:lineRule="exact"/>
        <w:ind w:firstLine="420"/>
      </w:pPr>
      <w:r>
        <w:rPr>
          <w:rFonts w:hint="eastAsia"/>
        </w:rPr>
        <w:t>（2）疾病管理能力，包括：药源性运动障碍筛查开展情况、迟发性运动障碍等重点疾病管理情况、非运动症状筛查和干预情况、患者教育开展情况、双向转诊执行情况等；</w:t>
      </w:r>
    </w:p>
    <w:p>
      <w:pPr>
        <w:pStyle w:val="23"/>
        <w:spacing w:line="360" w:lineRule="exact"/>
        <w:ind w:firstLine="420"/>
      </w:pPr>
      <w:r>
        <w:rPr>
          <w:rFonts w:hint="eastAsia"/>
        </w:rPr>
        <w:t>（3）专科技术能力，包括：运动障碍评估技术应用情况、康复治疗开展情况、神经调控技术应用情况、多学科联合诊疗开展情况；</w:t>
      </w:r>
    </w:p>
    <w:p>
      <w:pPr>
        <w:pStyle w:val="23"/>
        <w:spacing w:line="360" w:lineRule="exact"/>
        <w:ind w:firstLine="420"/>
      </w:pPr>
      <w:r>
        <w:rPr>
          <w:rFonts w:hint="eastAsia"/>
        </w:rPr>
        <w:t>（4）教学培训能力，包括：专业人员培训情况、继续教育项目开展情况、区域技术推广情况、远程医疗及教学情况等；</w:t>
      </w:r>
    </w:p>
    <w:p>
      <w:pPr>
        <w:pStyle w:val="23"/>
        <w:spacing w:line="360" w:lineRule="exact"/>
        <w:ind w:firstLine="420"/>
      </w:pPr>
      <w:r>
        <w:rPr>
          <w:rFonts w:hint="eastAsia"/>
        </w:rPr>
        <w:t>（5）科研创新能力，包括：运动障碍相关科研项目开展情况，临床数据库建设情况，学术论文发表情况，多中心研究参与情况等。</w:t>
      </w:r>
    </w:p>
    <w:p>
      <w:pPr>
        <w:pStyle w:val="23"/>
        <w:spacing w:line="360" w:lineRule="exact"/>
        <w:ind w:firstLine="420"/>
      </w:pPr>
      <w:r>
        <w:rPr>
          <w:rFonts w:hint="eastAsia"/>
        </w:rPr>
        <w:t>通过建立三级中心评估认证和质量控制体系，推动精神专科医院运动障碍中心建设规范化、同质化发展，提高运动障碍疾病诊疗质量和管理水平。</w:t>
      </w:r>
    </w:p>
    <w:p>
      <w:pPr>
        <w:pStyle w:val="30"/>
        <w:numPr>
          <w:ilvl w:val="0"/>
          <w:numId w:val="0"/>
        </w:numPr>
        <w:spacing w:before="240" w:beforeLines="100" w:after="240" w:afterLines="100"/>
        <w:rPr>
          <w:b/>
          <w:bCs/>
        </w:rPr>
      </w:pPr>
    </w:p>
    <w:p>
      <w:pPr>
        <w:sectPr>
          <w:headerReference r:id="rId9" w:type="default"/>
          <w:pgSz w:w="11906" w:h="16838"/>
          <w:pgMar w:top="1440" w:right="1797" w:bottom="1440" w:left="1797" w:header="851" w:footer="992" w:gutter="0"/>
          <w:cols w:space="425" w:num="1"/>
          <w:docGrid w:linePitch="312" w:charSpace="0"/>
        </w:sectPr>
      </w:pPr>
    </w:p>
    <w:p>
      <w:pPr>
        <w:pStyle w:val="30"/>
        <w:numPr>
          <w:ilvl w:val="0"/>
          <w:numId w:val="0"/>
        </w:numPr>
        <w:spacing w:before="240" w:beforeLines="100" w:after="240" w:afterLines="100"/>
        <w:rPr>
          <w:b/>
          <w:bCs/>
        </w:rPr>
      </w:pPr>
      <w:bookmarkStart w:id="45" w:name="_Toc237988312"/>
      <w:r>
        <w:rPr>
          <w:rFonts w:hint="eastAsia"/>
          <w:b/>
          <w:bCs/>
        </w:rPr>
        <w:t>参 考 文 献</w:t>
      </w:r>
      <w:bookmarkEnd w:id="43"/>
      <w:bookmarkEnd w:id="44"/>
      <w:bookmarkEnd w:id="45"/>
    </w:p>
    <w:p>
      <w:pPr>
        <w:wordWrap w:val="0"/>
        <w:snapToGrid w:val="0"/>
        <w:spacing w:line="36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[1] 国家卫生健康委办公厅</w:t>
      </w:r>
      <w:r>
        <w:rPr>
          <w:rFonts w:hint="eastAsia" w:ascii="Times New Roman" w:hAnsi="Times New Roman" w:eastAsia="宋体" w:cs="Times New Roman"/>
          <w:szCs w:val="21"/>
        </w:rPr>
        <w:t>.</w:t>
      </w:r>
      <w:r>
        <w:rPr>
          <w:rFonts w:ascii="Times New Roman" w:hAnsi="Times New Roman" w:eastAsia="宋体" w:cs="Times New Roman"/>
          <w:szCs w:val="21"/>
        </w:rPr>
        <w:t xml:space="preserve"> 关于印发加强和完善精神专科医疗服务意见的通知[S].北京: 国家卫生健康委办公厅; 2020.</w:t>
      </w:r>
    </w:p>
    <w:p>
      <w:pPr>
        <w:wordWrap w:val="0"/>
        <w:snapToGrid w:val="0"/>
        <w:spacing w:line="36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[2] 中华医学会精神医学分会精神神经协作组. 神经精神共病管理专家共识[J].中华精神科杂志; 2024.</w:t>
      </w:r>
    </w:p>
    <w:p>
      <w:pPr>
        <w:snapToGrid w:val="0"/>
        <w:spacing w:line="360" w:lineRule="exact"/>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[3] Factor SA, Burkhard PR, Caroff S, et al. Recent developments in drug-induced movement disorders: a mixed picture. Lancet Neurol. 2019;18(9):880-890.</w:t>
      </w:r>
      <w:r>
        <w:rPr>
          <w:rFonts w:hint="eastAsia" w:ascii="Times New Roman" w:hAnsi="Times New Roman" w:cs="Times New Roman"/>
        </w:rPr>
        <w:t xml:space="preserve"> </w:t>
      </w:r>
      <w:r>
        <w:rPr>
          <w:rFonts w:ascii="Times New Roman" w:hAnsi="Times New Roman" w:eastAsia="宋体" w:cs="Times New Roman"/>
          <w:szCs w:val="21"/>
        </w:rPr>
        <w:t>doi:10.1016/S1474-4422(19)</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30152-8. </w:t>
      </w:r>
    </w:p>
    <w:p>
      <w:pPr>
        <w:snapToGrid w:val="0"/>
        <w:spacing w:line="360" w:lineRule="exact"/>
        <w:ind w:firstLine="420" w:firstLineChars="200"/>
        <w:jc w:val="left"/>
        <w:rPr>
          <w:rFonts w:ascii="Times New Roman" w:hAnsi="Times New Roman" w:eastAsia="宋体" w:cs="Times New Roman"/>
          <w:szCs w:val="21"/>
        </w:rPr>
      </w:pPr>
      <w:r>
        <w:rPr>
          <w:rFonts w:hint="eastAsia" w:ascii="Times New Roman" w:hAnsi="Times New Roman" w:eastAsia="宋体" w:cs="Times New Roman"/>
          <w:szCs w:val="21"/>
        </w:rPr>
        <w:t>[4] 中华医学会神经病学分会帕金森病及运动障碍学组，中国医师协会神经内科分会帕金森病及运动障碍学组。帕金森病非运动症状管理专家共识[J].中华医学杂志; 2020.</w:t>
      </w:r>
    </w:p>
    <w:p>
      <w:pPr>
        <w:wordWrap w:val="0"/>
        <w:snapToGrid w:val="0"/>
        <w:spacing w:line="36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[5]</w:t>
      </w:r>
      <w:r>
        <w:rPr>
          <w:rFonts w:hint="eastAsia" w:ascii="Times New Roman" w:hAnsi="Times New Roman" w:eastAsia="宋体" w:cs="Times New Roman"/>
          <w:szCs w:val="21"/>
        </w:rPr>
        <w:t xml:space="preserve"> </w:t>
      </w:r>
      <w:r>
        <w:rPr>
          <w:rFonts w:ascii="Times New Roman" w:hAnsi="Times New Roman" w:eastAsia="宋体" w:cs="Times New Roman"/>
          <w:szCs w:val="21"/>
        </w:rPr>
        <w:t>中华医学会神经病学分会帕金森病及运动障碍学组.亨廷顿病的诊断与治疗指南[J].中华神经科杂志, 2011.</w:t>
      </w:r>
    </w:p>
    <w:p>
      <w:pPr>
        <w:wordWrap w:val="0"/>
        <w:snapToGrid w:val="0"/>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[6] </w:t>
      </w:r>
      <w:r>
        <w:rPr>
          <w:rFonts w:ascii="Times New Roman" w:hAnsi="Times New Roman" w:eastAsia="宋体" w:cs="Times New Roman"/>
          <w:szCs w:val="21"/>
        </w:rPr>
        <w:t>国家卫生健康委办公厅. 国家精神医学中心设置标准[S]. 北京: 国家卫生健康委办公厅; 2019.</w:t>
      </w:r>
    </w:p>
    <w:p>
      <w:pPr>
        <w:wordWrap w:val="0"/>
        <w:snapToGrid w:val="0"/>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[7]中国医师协会神经内科医师分会帕金森病及运动障碍学组，中华医学会神经病学分会帕金森病及运动障碍学组，</w:t>
      </w:r>
      <w:r>
        <w:rPr>
          <w:rFonts w:ascii="Times New Roman" w:hAnsi="Times New Roman" w:eastAsia="宋体" w:cs="Times New Roman"/>
          <w:szCs w:val="21"/>
        </w:rPr>
        <w:t>建立帕金森病及相关运动障碍病三级全程化管理模式的方案</w:t>
      </w:r>
      <w:r>
        <w:rPr>
          <w:rFonts w:hint="eastAsia" w:ascii="Times New Roman" w:hAnsi="Times New Roman" w:eastAsia="宋体" w:cs="Times New Roman"/>
          <w:szCs w:val="21"/>
        </w:rPr>
        <w:t>[J].中华老年医学杂志，2021.</w:t>
      </w:r>
    </w:p>
    <w:p>
      <w:pPr>
        <w:snapToGrid w:val="0"/>
        <w:spacing w:line="360" w:lineRule="exact"/>
        <w:ind w:firstLine="420" w:firstLineChars="200"/>
        <w:jc w:val="left"/>
        <w:rPr>
          <w:rFonts w:ascii="Times New Roman" w:hAnsi="Times New Roman" w:eastAsia="宋体" w:cs="Times New Roman"/>
          <w:szCs w:val="21"/>
        </w:rPr>
      </w:pPr>
      <w:r>
        <w:rPr>
          <w:rFonts w:hint="eastAsia" w:ascii="Times New Roman" w:hAnsi="Times New Roman" w:eastAsia="宋体" w:cs="Times New Roman"/>
          <w:szCs w:val="21"/>
        </w:rPr>
        <w:t>[8] 住房城乡建设部, 国家发展改革委. 精神专科医院建设标准[S]. 北京: 中国计划出版社; 2016.</w:t>
      </w:r>
    </w:p>
    <w:p>
      <w:pPr>
        <w:wordWrap w:val="0"/>
        <w:snapToGrid w:val="0"/>
        <w:spacing w:line="36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rPr>
        <w:t>9</w:t>
      </w:r>
      <w:r>
        <w:rPr>
          <w:rFonts w:ascii="Times New Roman" w:hAnsi="Times New Roman" w:eastAsia="宋体" w:cs="Times New Roman"/>
          <w:szCs w:val="21"/>
        </w:rPr>
        <w:t>] 国务院办公厅. 国务院办公厅关于转发卫生计生委等部门〈全国精神卫生工作规划（2015—2020年）〉的通知[S]. 北京: 国务院办公厅; 2015.</w:t>
      </w:r>
    </w:p>
    <w:p>
      <w:pPr>
        <w:wordWrap w:val="0"/>
        <w:snapToGrid w:val="0"/>
        <w:spacing w:line="3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[10] </w:t>
      </w:r>
      <w:r>
        <w:rPr>
          <w:rFonts w:ascii="Times New Roman" w:hAnsi="Times New Roman" w:eastAsia="宋体" w:cs="Times New Roman"/>
          <w:szCs w:val="21"/>
        </w:rPr>
        <w:t>中华医学会精神医学分会精神分裂症协作组. 迟发性运动障碍诊疗专家共</w:t>
      </w:r>
      <w:r>
        <w:rPr>
          <w:rFonts w:hint="eastAsia" w:ascii="Times New Roman" w:hAnsi="Times New Roman" w:eastAsia="宋体" w:cs="Times New Roman"/>
          <w:szCs w:val="21"/>
        </w:rPr>
        <w:t xml:space="preserve">识[J], </w:t>
      </w:r>
      <w:r>
        <w:rPr>
          <w:rFonts w:ascii="Times New Roman" w:hAnsi="Times New Roman" w:eastAsia="宋体" w:cs="Times New Roman"/>
          <w:szCs w:val="21"/>
        </w:rPr>
        <w:t xml:space="preserve">2025. </w:t>
      </w:r>
    </w:p>
    <w:p>
      <w:pPr>
        <w:snapToGrid w:val="0"/>
        <w:spacing w:line="360" w:lineRule="exact"/>
        <w:ind w:firstLine="420" w:firstLineChars="200"/>
        <w:rPr>
          <w:rFonts w:ascii="Times New Roman" w:hAnsi="Times New Roman" w:eastAsia="宋体" w:cs="Times New Roman"/>
          <w:szCs w:val="21"/>
        </w:rPr>
      </w:pPr>
    </w:p>
    <w:p>
      <w:pPr>
        <w:snapToGrid w:val="0"/>
        <w:spacing w:line="360" w:lineRule="exact"/>
        <w:ind w:firstLine="420" w:firstLineChars="200"/>
        <w:rPr>
          <w:rFonts w:ascii="Times New Roman" w:hAnsi="Times New Roman" w:eastAsia="宋体" w:cs="Times New Roman"/>
          <w:szCs w:val="21"/>
        </w:rPr>
      </w:pPr>
    </w:p>
    <w:p>
      <w:pPr>
        <w:snapToGrid w:val="0"/>
        <w:spacing w:line="360" w:lineRule="exact"/>
        <w:ind w:firstLine="420" w:firstLineChars="200"/>
        <w:rPr>
          <w:rFonts w:ascii="Times New Roman" w:hAnsi="Times New Roman" w:eastAsia="宋体" w:cs="Times New Roman"/>
          <w:szCs w:val="21"/>
        </w:rPr>
      </w:pPr>
      <w:bookmarkStart w:id="46" w:name="_GoBack"/>
      <w:r>
        <w:rPr>
          <w:sz w:val="21"/>
        </w:rPr>
        <mc:AlternateContent>
          <mc:Choice Requires="wps">
            <w:drawing>
              <wp:anchor distT="0" distB="0" distL="114300" distR="114300" simplePos="0" relativeHeight="251658240" behindDoc="0" locked="0" layoutInCell="1" allowOverlap="1">
                <wp:simplePos x="0" y="0"/>
                <wp:positionH relativeFrom="column">
                  <wp:posOffset>1434465</wp:posOffset>
                </wp:positionH>
                <wp:positionV relativeFrom="paragraph">
                  <wp:posOffset>273050</wp:posOffset>
                </wp:positionV>
                <wp:extent cx="2312035" cy="6985"/>
                <wp:effectExtent l="0" t="4445" r="12065" b="7620"/>
                <wp:wrapNone/>
                <wp:docPr id="1" name="直接连接符 1"/>
                <wp:cNvGraphicFramePr/>
                <a:graphic xmlns:a="http://schemas.openxmlformats.org/drawingml/2006/main">
                  <a:graphicData uri="http://schemas.microsoft.com/office/word/2010/wordprocessingShape">
                    <wps:wsp>
                      <wps:cNvCnPr/>
                      <wps:spPr>
                        <a:xfrm flipV="1">
                          <a:off x="2575560" y="8401050"/>
                          <a:ext cx="231203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12.95pt;margin-top:21.5pt;height:0.55pt;width:182.05pt;z-index:251658240;mso-width-relative:page;mso-height-relative:page;" filled="f" stroked="t" coordsize="21600,21600" o:gfxdata="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Wo9LR&#10;1wAAAAkBAAAPAAAAAAAAAAEAIAAAACIAAABkcnMvZG93bnJldi54bWxQSwECFAAUAAAACACHTuJA&#10;mZWLw+kBAACeAwAADgAAAAAAAAABACAAAAAmAQAAZHJzL2Uyb0RvYy54bWxQSwUGAAAAAAYABgBZ&#10;AQAAgQUAAAAA&#10;">
                <v:fill on="f" focussize="0,0"/>
                <v:stroke color="#000000 [3200]" joinstyle="round"/>
                <v:imagedata o:title=""/>
                <o:lock v:ext="edit" aspectratio="f"/>
              </v:line>
            </w:pict>
          </mc:Fallback>
        </mc:AlternateContent>
      </w:r>
      <w:bookmarkEnd w:id="46"/>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FZXiaoBiaoSong-B05S">
    <w:altName w:val="宋体"/>
    <w:panose1 w:val="00000000000000000000"/>
    <w:charset w:val="86"/>
    <w:family w:val="swiss"/>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11270"/>
      </w:tabs>
      <w:wordWrap w:val="0"/>
      <w:jc w:val="both"/>
      <w:rPr>
        <w:rFonts w:hint="eastAsia" w:ascii="黑体" w:hAnsi="黑体" w:eastAsia="黑体"/>
        <w:sz w:val="21"/>
        <w:szCs w:val="21"/>
      </w:rPr>
    </w:pPr>
    <w:r>
      <w:rPr>
        <w:rFonts w:ascii="黑体" w:hAnsi="黑体" w:eastAsia="黑体"/>
        <w:sz w:val="21"/>
        <w:szCs w:val="21"/>
      </w:rPr>
      <w:tab/>
    </w:r>
    <w:r>
      <w:rPr>
        <w:rFonts w:ascii="黑体" w:hAnsi="黑体" w:eastAsia="黑体"/>
        <w:sz w:val="21"/>
        <w:szCs w:val="21"/>
      </w:rPr>
      <w:tab/>
    </w:r>
    <w:r>
      <w:rPr>
        <w:rFonts w:ascii="黑体" w:hAnsi="黑体" w:eastAsia="黑体"/>
        <w:sz w:val="21"/>
        <w:szCs w:val="2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FEA"/>
    <w:multiLevelType w:val="multilevel"/>
    <w:tmpl w:val="07ED3FEA"/>
    <w:lvl w:ilvl="0" w:tentative="0">
      <w:start w:val="1"/>
      <w:numFmt w:val="none"/>
      <w:pStyle w:val="42"/>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suff w:val="nothing"/>
      <w:lvlText w:val="%10.%2.%3.%4.%5 "/>
      <w:lvlJc w:val="left"/>
      <w:pPr>
        <w:ind w:left="0" w:firstLine="0"/>
      </w:pPr>
      <w:rPr>
        <w:rFonts w:hint="eastAsia" w:ascii="黑体" w:eastAsia="黑体" w:hAnsiTheme="minorHAnsi"/>
        <w:b w:val="0"/>
        <w:i w:val="0"/>
        <w:sz w:val="21"/>
      </w:rPr>
    </w:lvl>
    <w:lvl w:ilvl="5" w:tentative="0">
      <w:start w:val="1"/>
      <w:numFmt w:val="decimal"/>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1FC91163"/>
    <w:multiLevelType w:val="multilevel"/>
    <w:tmpl w:val="1FC91163"/>
    <w:lvl w:ilvl="0" w:tentative="0">
      <w:start w:val="1"/>
      <w:numFmt w:val="decimal"/>
      <w:pStyle w:val="29"/>
      <w:suff w:val="nothing"/>
      <w:lvlText w:val="%1　"/>
      <w:lvlJc w:val="left"/>
      <w:pPr>
        <w:ind w:left="0" w:firstLine="0"/>
      </w:p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CEA2025"/>
    <w:multiLevelType w:val="multilevel"/>
    <w:tmpl w:val="6CEA2025"/>
    <w:lvl w:ilvl="0" w:tentative="0">
      <w:start w:val="1"/>
      <w:numFmt w:val="none"/>
      <w:pStyle w:val="30"/>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357" w:firstLine="0"/>
      </w:pPr>
      <w:rPr>
        <w:rFonts w:hint="eastAsia" w:ascii="黑体" w:hAnsi="Times New Roman" w:eastAsia="黑体"/>
        <w:b w:val="0"/>
        <w:i w:val="0"/>
        <w:sz w:val="21"/>
      </w:rPr>
    </w:lvl>
    <w:lvl w:ilvl="2" w:tentative="0">
      <w:start w:val="1"/>
      <w:numFmt w:val="decimal"/>
      <w:suff w:val="nothing"/>
      <w:lvlText w:val="%2.%3　"/>
      <w:lvlJc w:val="left"/>
      <w:pPr>
        <w:ind w:left="714" w:firstLine="0"/>
      </w:pPr>
      <w:rPr>
        <w:rFonts w:hint="eastAsia" w:ascii="黑体" w:hAnsi="Times New Roman" w:eastAsia="黑体"/>
        <w:b w:val="0"/>
        <w:i w:val="0"/>
        <w:sz w:val="21"/>
      </w:rPr>
    </w:lvl>
    <w:lvl w:ilvl="3" w:tentative="0">
      <w:start w:val="1"/>
      <w:numFmt w:val="decimal"/>
      <w:suff w:val="nothing"/>
      <w:lvlText w:val="%1%2.%3.%4　"/>
      <w:lvlJc w:val="left"/>
      <w:pPr>
        <w:ind w:left="1071" w:firstLine="0"/>
      </w:pPr>
      <w:rPr>
        <w:rFonts w:hint="eastAsia" w:ascii="黑体" w:hAnsi="Times New Roman" w:eastAsia="黑体"/>
        <w:b w:val="0"/>
        <w:i w:val="0"/>
        <w:sz w:val="21"/>
      </w:rPr>
    </w:lvl>
    <w:lvl w:ilvl="4" w:tentative="0">
      <w:start w:val="1"/>
      <w:numFmt w:val="decimal"/>
      <w:suff w:val="nothing"/>
      <w:lvlText w:val="%1%2.%3.%4.%5　"/>
      <w:lvlJc w:val="left"/>
      <w:pPr>
        <w:ind w:left="1428" w:firstLine="0"/>
      </w:pPr>
      <w:rPr>
        <w:rFonts w:hint="eastAsia" w:ascii="黑体" w:hAnsi="Times New Roman" w:eastAsia="黑体"/>
        <w:b w:val="0"/>
        <w:i w:val="0"/>
        <w:sz w:val="21"/>
      </w:rPr>
    </w:lvl>
    <w:lvl w:ilvl="5" w:tentative="0">
      <w:start w:val="1"/>
      <w:numFmt w:val="decimal"/>
      <w:suff w:val="nothing"/>
      <w:lvlText w:val="%1%2.%3.%4.%5.%6　"/>
      <w:lvlJc w:val="left"/>
      <w:pPr>
        <w:ind w:left="1785" w:firstLine="0"/>
      </w:pPr>
      <w:rPr>
        <w:rFonts w:hint="eastAsia" w:ascii="黑体" w:hAnsi="Times New Roman" w:eastAsia="黑体"/>
        <w:b w:val="0"/>
        <w:i w:val="0"/>
        <w:sz w:val="21"/>
      </w:rPr>
    </w:lvl>
    <w:lvl w:ilvl="6" w:tentative="0">
      <w:start w:val="1"/>
      <w:numFmt w:val="decimal"/>
      <w:suff w:val="nothing"/>
      <w:lvlText w:val="%1%2.%3.%4.%5.%6.%7　"/>
      <w:lvlJc w:val="left"/>
      <w:pPr>
        <w:ind w:left="2142"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2499" w:firstLine="0"/>
      </w:pPr>
      <w:rPr>
        <w:rFonts w:hint="eastAsia"/>
      </w:rPr>
    </w:lvl>
    <w:lvl w:ilvl="8" w:tentative="0">
      <w:start w:val="1"/>
      <w:numFmt w:val="decimal"/>
      <w:lvlText w:val="%1.%2.%3.%4.%5.%6.%7.%8.%9"/>
      <w:lvlJc w:val="left"/>
      <w:pPr>
        <w:tabs>
          <w:tab w:val="left" w:pos="4777"/>
        </w:tabs>
        <w:ind w:left="2856" w:firstLine="0"/>
      </w:pPr>
      <w:rPr>
        <w:rFonts w:hint="eastAsia"/>
      </w:rPr>
    </w:lvl>
  </w:abstractNum>
  <w:num w:numId="1">
    <w:abstractNumId w:val="2"/>
    <w:lvlOverride w:ilvl="0">
      <w:lvl w:ilvl="0" w:tentative="1">
        <w:start w:val="1"/>
        <w:numFmt w:val="none"/>
        <w:suff w:val="nothing"/>
        <w:lvlText w:val="%1"/>
        <w:lvlJc w:val="left"/>
        <w:pPr>
          <w:ind w:left="0" w:firstLine="0"/>
        </w:pPr>
        <w:rPr>
          <w:rFonts w:hint="default" w:ascii="Times New Roman" w:hAnsi="Times New Roman"/>
          <w:b/>
          <w:i w:val="0"/>
          <w:sz w:val="21"/>
        </w:rPr>
      </w:lvl>
    </w:lvlOverride>
    <w:lvlOverride w:ilvl="1">
      <w:lvl w:ilvl="1" w:tentative="1">
        <w:start w:val="1"/>
        <w:numFmt w:val="decimal"/>
        <w:suff w:val="nothing"/>
        <w:lvlText w:val="%1%2　"/>
        <w:lvlJc w:val="left"/>
        <w:pPr>
          <w:ind w:left="357" w:firstLine="0"/>
        </w:pPr>
        <w:rPr>
          <w:rFonts w:hint="eastAsia" w:ascii="黑体" w:hAnsi="Times New Roman" w:eastAsia="黑体"/>
          <w:b w:val="0"/>
          <w:i w:val="0"/>
          <w:sz w:val="21"/>
        </w:rPr>
      </w:lvl>
    </w:lvlOverride>
    <w:lvlOverride w:ilvl="2">
      <w:lvl w:ilvl="2" w:tentative="1">
        <w:start w:val="1"/>
        <w:numFmt w:val="decimal"/>
        <w:pStyle w:val="25"/>
        <w:suff w:val="nothing"/>
        <w:lvlText w:val="3.%3　"/>
        <w:lvlJc w:val="left"/>
        <w:pPr>
          <w:ind w:left="567" w:firstLine="0"/>
        </w:pPr>
        <w:rPr>
          <w:rFonts w:hint="eastAsia"/>
        </w:rPr>
      </w:lvl>
    </w:lvlOverride>
    <w:lvlOverride w:ilvl="3">
      <w:lvl w:ilvl="3" w:tentative="1">
        <w:start w:val="1"/>
        <w:numFmt w:val="decimal"/>
        <w:pStyle w:val="28"/>
        <w:suff w:val="nothing"/>
        <w:lvlText w:val="%1%2.%3.%4　"/>
        <w:lvlJc w:val="left"/>
        <w:pPr>
          <w:ind w:left="1071" w:firstLine="0"/>
        </w:pPr>
        <w:rPr>
          <w:rFonts w:hint="eastAsia" w:ascii="黑体" w:hAnsi="Times New Roman" w:eastAsia="黑体"/>
          <w:b w:val="0"/>
          <w:i w:val="0"/>
          <w:sz w:val="21"/>
        </w:rPr>
      </w:lvl>
    </w:lvlOverride>
    <w:lvlOverride w:ilvl="4">
      <w:lvl w:ilvl="4" w:tentative="1">
        <w:start w:val="1"/>
        <w:numFmt w:val="decimal"/>
        <w:suff w:val="nothing"/>
        <w:lvlText w:val="%1%2.%3.%4.%5　"/>
        <w:lvlJc w:val="left"/>
        <w:pPr>
          <w:ind w:left="1428" w:firstLine="0"/>
        </w:pPr>
        <w:rPr>
          <w:rFonts w:hint="eastAsia" w:ascii="黑体" w:hAnsi="Times New Roman" w:eastAsia="黑体"/>
          <w:b w:val="0"/>
          <w:i w:val="0"/>
          <w:sz w:val="21"/>
        </w:rPr>
      </w:lvl>
    </w:lvlOverride>
    <w:lvlOverride w:ilvl="5">
      <w:lvl w:ilvl="5" w:tentative="1">
        <w:start w:val="1"/>
        <w:numFmt w:val="decimal"/>
        <w:suff w:val="nothing"/>
        <w:lvlText w:val="%1%2.%3.%4.%5.%6　"/>
        <w:lvlJc w:val="left"/>
        <w:pPr>
          <w:ind w:left="1785" w:firstLine="0"/>
        </w:pPr>
        <w:rPr>
          <w:rFonts w:hint="eastAsia" w:ascii="黑体" w:hAnsi="Times New Roman" w:eastAsia="黑体"/>
          <w:b w:val="0"/>
          <w:i w:val="0"/>
          <w:sz w:val="21"/>
        </w:rPr>
      </w:lvl>
    </w:lvlOverride>
    <w:lvlOverride w:ilvl="6">
      <w:lvl w:ilvl="6" w:tentative="1">
        <w:start w:val="1"/>
        <w:numFmt w:val="decimal"/>
        <w:suff w:val="nothing"/>
        <w:lvlText w:val="%1%2.%3.%4.%5.%6.%7　"/>
        <w:lvlJc w:val="left"/>
        <w:pPr>
          <w:ind w:left="2142" w:firstLine="0"/>
        </w:pPr>
        <w:rPr>
          <w:rFonts w:hint="eastAsia" w:ascii="黑体" w:hAnsi="Times New Roman" w:eastAsia="黑体"/>
          <w:b w:val="0"/>
          <w:i w:val="0"/>
          <w:sz w:val="21"/>
        </w:rPr>
      </w:lvl>
    </w:lvlOverride>
    <w:lvlOverride w:ilvl="7">
      <w:lvl w:ilvl="7" w:tentative="1">
        <w:start w:val="1"/>
        <w:numFmt w:val="decimal"/>
        <w:lvlText w:val="%1.%2.%3.%4.%5.%6.%7.%8"/>
        <w:lvlJc w:val="left"/>
        <w:pPr>
          <w:tabs>
            <w:tab w:val="left" w:pos="4351"/>
          </w:tabs>
          <w:ind w:left="2499" w:firstLine="0"/>
        </w:pPr>
        <w:rPr>
          <w:rFonts w:hint="eastAsia"/>
        </w:rPr>
      </w:lvl>
    </w:lvlOverride>
    <w:lvlOverride w:ilvl="8">
      <w:lvl w:ilvl="8" w:tentative="1">
        <w:start w:val="1"/>
        <w:numFmt w:val="decimal"/>
        <w:lvlText w:val="%1.%2.%3.%4.%5.%6.%7.%8.%9"/>
        <w:lvlJc w:val="left"/>
        <w:pPr>
          <w:tabs>
            <w:tab w:val="left" w:pos="4777"/>
          </w:tabs>
          <w:ind w:left="2856" w:firstLine="0"/>
        </w:pPr>
        <w:rPr>
          <w:rFonts w:hint="eastAsia"/>
        </w:rPr>
      </w:lvl>
    </w:lvlOverride>
  </w:num>
  <w:num w:numId="2">
    <w:abstractNumId w:val="1"/>
  </w:num>
  <w:num w:numId="3">
    <w:abstractNumId w:val="2"/>
  </w:num>
  <w:num w:numId="4">
    <w:abstractNumId w:val="0"/>
  </w:num>
  <w:num w:numId="5">
    <w:abstractNumId w:val="2"/>
    <w:lvlOverride w:ilvl="0">
      <w:startOverride w:val="1"/>
      <w:lvl w:ilvl="0" w:tentative="1">
        <w:start w:val="1"/>
        <w:numFmt w:val="none"/>
        <w:suff w:val="nothing"/>
        <w:lvlText w:val="%1"/>
        <w:lvlJc w:val="left"/>
        <w:pPr>
          <w:ind w:left="0" w:firstLine="0"/>
        </w:pPr>
        <w:rPr>
          <w:rFonts w:hint="default" w:ascii="Times New Roman" w:hAnsi="Times New Roman"/>
          <w:b/>
          <w:i w:val="0"/>
          <w:sz w:val="21"/>
        </w:rPr>
      </w:lvl>
    </w:lvlOverride>
    <w:lvlOverride w:ilvl="1">
      <w:startOverride w:val="1"/>
      <w:lvl w:ilvl="1" w:tentative="1">
        <w:start w:val="1"/>
        <w:numFmt w:val="decimal"/>
        <w:suff w:val="nothing"/>
        <w:lvlText w:val="%1%2　"/>
        <w:lvlJc w:val="left"/>
        <w:pPr>
          <w:ind w:left="357" w:firstLine="0"/>
        </w:pPr>
        <w:rPr>
          <w:rFonts w:hint="eastAsia" w:ascii="黑体" w:hAnsi="Times New Roman" w:eastAsia="黑体"/>
          <w:b w:val="0"/>
          <w:i w:val="0"/>
          <w:sz w:val="21"/>
        </w:rPr>
      </w:lvl>
    </w:lvlOverride>
    <w:lvlOverride w:ilvl="2">
      <w:startOverride w:val="1"/>
      <w:lvl w:ilvl="2" w:tentative="1">
        <w:start w:val="1"/>
        <w:numFmt w:val="decimal"/>
        <w:suff w:val="nothing"/>
        <w:lvlText w:val="4.%3　"/>
        <w:lvlJc w:val="left"/>
        <w:pPr>
          <w:ind w:left="714" w:firstLine="0"/>
        </w:pPr>
        <w:rPr>
          <w:rFonts w:hint="eastAsia"/>
        </w:rPr>
      </w:lvl>
    </w:lvlOverride>
    <w:lvlOverride w:ilvl="3">
      <w:startOverride w:val="1"/>
      <w:lvl w:ilvl="3" w:tentative="1">
        <w:start w:val="1"/>
        <w:numFmt w:val="decimal"/>
        <w:suff w:val="nothing"/>
        <w:lvlText w:val="%1%2.%3.%4　"/>
        <w:lvlJc w:val="left"/>
        <w:pPr>
          <w:ind w:left="1071" w:firstLine="0"/>
        </w:pPr>
        <w:rPr>
          <w:rFonts w:hint="eastAsia" w:ascii="黑体" w:hAnsi="Times New Roman" w:eastAsia="黑体"/>
          <w:b w:val="0"/>
          <w:i w:val="0"/>
          <w:sz w:val="21"/>
        </w:rPr>
      </w:lvl>
    </w:lvlOverride>
    <w:lvlOverride w:ilvl="4">
      <w:startOverride w:val="1"/>
      <w:lvl w:ilvl="4" w:tentative="1">
        <w:start w:val="1"/>
        <w:numFmt w:val="decimal"/>
        <w:suff w:val="nothing"/>
        <w:lvlText w:val="%1%2.%3.%4.%5　"/>
        <w:lvlJc w:val="left"/>
        <w:pPr>
          <w:ind w:left="1428" w:firstLine="0"/>
        </w:pPr>
        <w:rPr>
          <w:rFonts w:hint="eastAsia" w:ascii="黑体" w:hAnsi="Times New Roman" w:eastAsia="黑体"/>
          <w:b w:val="0"/>
          <w:i w:val="0"/>
          <w:sz w:val="21"/>
        </w:rPr>
      </w:lvl>
    </w:lvlOverride>
    <w:lvlOverride w:ilvl="5">
      <w:startOverride w:val="1"/>
      <w:lvl w:ilvl="5" w:tentative="1">
        <w:start w:val="1"/>
        <w:numFmt w:val="decimal"/>
        <w:suff w:val="nothing"/>
        <w:lvlText w:val="%1%2.%3.%4.%5.%6　"/>
        <w:lvlJc w:val="left"/>
        <w:pPr>
          <w:ind w:left="1785" w:firstLine="0"/>
        </w:pPr>
        <w:rPr>
          <w:rFonts w:hint="eastAsia" w:ascii="黑体" w:hAnsi="Times New Roman" w:eastAsia="黑体"/>
          <w:b w:val="0"/>
          <w:i w:val="0"/>
          <w:sz w:val="21"/>
        </w:rPr>
      </w:lvl>
    </w:lvlOverride>
    <w:lvlOverride w:ilvl="6">
      <w:startOverride w:val="1"/>
      <w:lvl w:ilvl="6" w:tentative="1">
        <w:start w:val="1"/>
        <w:numFmt w:val="decimal"/>
        <w:suff w:val="nothing"/>
        <w:lvlText w:val="%1%2.%3.%4.%5.%6.%7　"/>
        <w:lvlJc w:val="left"/>
        <w:pPr>
          <w:ind w:left="2142" w:firstLine="0"/>
        </w:pPr>
        <w:rPr>
          <w:rFonts w:hint="eastAsia" w:ascii="黑体" w:hAnsi="Times New Roman" w:eastAsia="黑体"/>
          <w:b w:val="0"/>
          <w:i w:val="0"/>
          <w:sz w:val="21"/>
        </w:rPr>
      </w:lvl>
    </w:lvlOverride>
    <w:lvlOverride w:ilvl="7">
      <w:startOverride w:val="1"/>
      <w:lvl w:ilvl="7" w:tentative="1">
        <w:start w:val="1"/>
        <w:numFmt w:val="decimal"/>
        <w:lvlText w:val="%1.%2.%3.%4.%5.%6.%7.%8"/>
        <w:lvlJc w:val="left"/>
        <w:pPr>
          <w:tabs>
            <w:tab w:val="left" w:pos="4351"/>
          </w:tabs>
          <w:ind w:left="2499" w:firstLine="0"/>
        </w:pPr>
        <w:rPr>
          <w:rFonts w:hint="eastAsia"/>
        </w:rPr>
      </w:lvl>
    </w:lvlOverride>
    <w:lvlOverride w:ilvl="8">
      <w:startOverride w:val="1"/>
      <w:lvl w:ilvl="8" w:tentative="1">
        <w:start w:val="1"/>
        <w:numFmt w:val="decimal"/>
        <w:lvlText w:val="%1.%2.%3.%4.%5.%6.%7.%8.%9"/>
        <w:lvlJc w:val="left"/>
        <w:pPr>
          <w:tabs>
            <w:tab w:val="left" w:pos="4777"/>
          </w:tabs>
          <w:ind w:left="2856" w:firstLine="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NhNzY0ZDkyN2IyZmI1YWM4NDI0YzMxNTczYjkxOGYifQ=="/>
  </w:docVars>
  <w:rsids>
    <w:rsidRoot w:val="00BC7831"/>
    <w:rsid w:val="00016417"/>
    <w:rsid w:val="00016AB6"/>
    <w:rsid w:val="00037D41"/>
    <w:rsid w:val="00051519"/>
    <w:rsid w:val="00053659"/>
    <w:rsid w:val="00060D8E"/>
    <w:rsid w:val="00063203"/>
    <w:rsid w:val="00080D52"/>
    <w:rsid w:val="0008291C"/>
    <w:rsid w:val="000C29F0"/>
    <w:rsid w:val="000C4711"/>
    <w:rsid w:val="000C4BEA"/>
    <w:rsid w:val="000E3286"/>
    <w:rsid w:val="000E330B"/>
    <w:rsid w:val="000E6D4D"/>
    <w:rsid w:val="000F1177"/>
    <w:rsid w:val="000F3546"/>
    <w:rsid w:val="00101828"/>
    <w:rsid w:val="001057F7"/>
    <w:rsid w:val="001074B6"/>
    <w:rsid w:val="0011064A"/>
    <w:rsid w:val="00110943"/>
    <w:rsid w:val="00112ABC"/>
    <w:rsid w:val="00112E5C"/>
    <w:rsid w:val="00151BCB"/>
    <w:rsid w:val="00160984"/>
    <w:rsid w:val="00165E1D"/>
    <w:rsid w:val="0017208E"/>
    <w:rsid w:val="00175FBF"/>
    <w:rsid w:val="00184727"/>
    <w:rsid w:val="00195740"/>
    <w:rsid w:val="00195EBA"/>
    <w:rsid w:val="001A33E4"/>
    <w:rsid w:val="001B710E"/>
    <w:rsid w:val="001B7FD8"/>
    <w:rsid w:val="001C487F"/>
    <w:rsid w:val="001C5DF8"/>
    <w:rsid w:val="001C5FA6"/>
    <w:rsid w:val="001D2D4D"/>
    <w:rsid w:val="001E3366"/>
    <w:rsid w:val="001E3CBE"/>
    <w:rsid w:val="001F3DBB"/>
    <w:rsid w:val="00207629"/>
    <w:rsid w:val="00210EDC"/>
    <w:rsid w:val="00214374"/>
    <w:rsid w:val="00223D49"/>
    <w:rsid w:val="00223D82"/>
    <w:rsid w:val="00226F03"/>
    <w:rsid w:val="00240ECC"/>
    <w:rsid w:val="0025176D"/>
    <w:rsid w:val="00252A74"/>
    <w:rsid w:val="00253ABF"/>
    <w:rsid w:val="002568DB"/>
    <w:rsid w:val="00265BA8"/>
    <w:rsid w:val="0028183C"/>
    <w:rsid w:val="00285087"/>
    <w:rsid w:val="00285E2E"/>
    <w:rsid w:val="00294E10"/>
    <w:rsid w:val="002A2A25"/>
    <w:rsid w:val="002A3D14"/>
    <w:rsid w:val="002A716C"/>
    <w:rsid w:val="002B2F2F"/>
    <w:rsid w:val="002C5799"/>
    <w:rsid w:val="002D1620"/>
    <w:rsid w:val="002D16A9"/>
    <w:rsid w:val="002D79C1"/>
    <w:rsid w:val="002E27BA"/>
    <w:rsid w:val="002E3891"/>
    <w:rsid w:val="002F1D2E"/>
    <w:rsid w:val="002F2862"/>
    <w:rsid w:val="002F33B1"/>
    <w:rsid w:val="003004DE"/>
    <w:rsid w:val="00300FDB"/>
    <w:rsid w:val="00310BC0"/>
    <w:rsid w:val="003165C8"/>
    <w:rsid w:val="00321E72"/>
    <w:rsid w:val="00332B57"/>
    <w:rsid w:val="0034011E"/>
    <w:rsid w:val="00352881"/>
    <w:rsid w:val="00352E20"/>
    <w:rsid w:val="00381255"/>
    <w:rsid w:val="003908E1"/>
    <w:rsid w:val="00393FF9"/>
    <w:rsid w:val="00395B15"/>
    <w:rsid w:val="003B11EA"/>
    <w:rsid w:val="003B4F8D"/>
    <w:rsid w:val="003C5A7B"/>
    <w:rsid w:val="003E176A"/>
    <w:rsid w:val="003E5ED9"/>
    <w:rsid w:val="003F1251"/>
    <w:rsid w:val="003F43E7"/>
    <w:rsid w:val="003F4474"/>
    <w:rsid w:val="004114F6"/>
    <w:rsid w:val="00413F82"/>
    <w:rsid w:val="00432F17"/>
    <w:rsid w:val="00435258"/>
    <w:rsid w:val="0043594C"/>
    <w:rsid w:val="00437239"/>
    <w:rsid w:val="004415F3"/>
    <w:rsid w:val="00446A20"/>
    <w:rsid w:val="00455E44"/>
    <w:rsid w:val="00457E07"/>
    <w:rsid w:val="00467DE9"/>
    <w:rsid w:val="004A479D"/>
    <w:rsid w:val="004D0B40"/>
    <w:rsid w:val="004E0569"/>
    <w:rsid w:val="004F2EE7"/>
    <w:rsid w:val="004F7C8D"/>
    <w:rsid w:val="00514F56"/>
    <w:rsid w:val="00526709"/>
    <w:rsid w:val="00535921"/>
    <w:rsid w:val="00545695"/>
    <w:rsid w:val="0056475B"/>
    <w:rsid w:val="005675F6"/>
    <w:rsid w:val="00581773"/>
    <w:rsid w:val="00596FCB"/>
    <w:rsid w:val="005A2757"/>
    <w:rsid w:val="005A4262"/>
    <w:rsid w:val="005A6A2F"/>
    <w:rsid w:val="005B1D60"/>
    <w:rsid w:val="005B2F08"/>
    <w:rsid w:val="005B63FD"/>
    <w:rsid w:val="005C271E"/>
    <w:rsid w:val="005C4D5C"/>
    <w:rsid w:val="005D4948"/>
    <w:rsid w:val="005D718A"/>
    <w:rsid w:val="005E2522"/>
    <w:rsid w:val="005E4503"/>
    <w:rsid w:val="005F01FC"/>
    <w:rsid w:val="005F249D"/>
    <w:rsid w:val="005F72FB"/>
    <w:rsid w:val="00613715"/>
    <w:rsid w:val="00621D66"/>
    <w:rsid w:val="00630F5D"/>
    <w:rsid w:val="0063617F"/>
    <w:rsid w:val="006613E5"/>
    <w:rsid w:val="00664A03"/>
    <w:rsid w:val="00670459"/>
    <w:rsid w:val="00673E36"/>
    <w:rsid w:val="00674D46"/>
    <w:rsid w:val="00676990"/>
    <w:rsid w:val="00677850"/>
    <w:rsid w:val="0068444E"/>
    <w:rsid w:val="00687204"/>
    <w:rsid w:val="0068752C"/>
    <w:rsid w:val="00692CC5"/>
    <w:rsid w:val="006A464D"/>
    <w:rsid w:val="006B5DCC"/>
    <w:rsid w:val="006D1088"/>
    <w:rsid w:val="006E008D"/>
    <w:rsid w:val="006E4104"/>
    <w:rsid w:val="006E6B53"/>
    <w:rsid w:val="006E766F"/>
    <w:rsid w:val="006E78C3"/>
    <w:rsid w:val="006F31F7"/>
    <w:rsid w:val="00730EAE"/>
    <w:rsid w:val="00745856"/>
    <w:rsid w:val="00754AD5"/>
    <w:rsid w:val="007558D6"/>
    <w:rsid w:val="007714DE"/>
    <w:rsid w:val="00776BF2"/>
    <w:rsid w:val="00777BD6"/>
    <w:rsid w:val="0078049E"/>
    <w:rsid w:val="0078628A"/>
    <w:rsid w:val="007942AB"/>
    <w:rsid w:val="007A732B"/>
    <w:rsid w:val="007B00E7"/>
    <w:rsid w:val="007C7383"/>
    <w:rsid w:val="007D24E9"/>
    <w:rsid w:val="007D3858"/>
    <w:rsid w:val="007E56A6"/>
    <w:rsid w:val="007F2E6A"/>
    <w:rsid w:val="00805B5F"/>
    <w:rsid w:val="008067E2"/>
    <w:rsid w:val="00813297"/>
    <w:rsid w:val="00826483"/>
    <w:rsid w:val="0083252D"/>
    <w:rsid w:val="00853BBE"/>
    <w:rsid w:val="00854BD1"/>
    <w:rsid w:val="00861D7C"/>
    <w:rsid w:val="00862A07"/>
    <w:rsid w:val="008868BF"/>
    <w:rsid w:val="00893260"/>
    <w:rsid w:val="008B01D0"/>
    <w:rsid w:val="008B1166"/>
    <w:rsid w:val="008D309F"/>
    <w:rsid w:val="008F580F"/>
    <w:rsid w:val="008F7435"/>
    <w:rsid w:val="00914750"/>
    <w:rsid w:val="0092668D"/>
    <w:rsid w:val="00931243"/>
    <w:rsid w:val="0093124A"/>
    <w:rsid w:val="009401B9"/>
    <w:rsid w:val="00954702"/>
    <w:rsid w:val="00954A9D"/>
    <w:rsid w:val="00966D64"/>
    <w:rsid w:val="00970892"/>
    <w:rsid w:val="009725CC"/>
    <w:rsid w:val="009807BE"/>
    <w:rsid w:val="00981EAB"/>
    <w:rsid w:val="00984ED3"/>
    <w:rsid w:val="00990F61"/>
    <w:rsid w:val="00993A39"/>
    <w:rsid w:val="009A52B8"/>
    <w:rsid w:val="009A5AE5"/>
    <w:rsid w:val="009C5C55"/>
    <w:rsid w:val="009C6235"/>
    <w:rsid w:val="009E0EF9"/>
    <w:rsid w:val="009F0614"/>
    <w:rsid w:val="009F387F"/>
    <w:rsid w:val="00A14AD3"/>
    <w:rsid w:val="00A207DC"/>
    <w:rsid w:val="00A26089"/>
    <w:rsid w:val="00A32207"/>
    <w:rsid w:val="00A45A7A"/>
    <w:rsid w:val="00A50361"/>
    <w:rsid w:val="00A504D9"/>
    <w:rsid w:val="00A52C9C"/>
    <w:rsid w:val="00A81792"/>
    <w:rsid w:val="00A93EB2"/>
    <w:rsid w:val="00AA019B"/>
    <w:rsid w:val="00AA36CB"/>
    <w:rsid w:val="00AA5D95"/>
    <w:rsid w:val="00AA79AB"/>
    <w:rsid w:val="00AB3E24"/>
    <w:rsid w:val="00AC469E"/>
    <w:rsid w:val="00AE51DE"/>
    <w:rsid w:val="00AF0BF2"/>
    <w:rsid w:val="00AF0C7C"/>
    <w:rsid w:val="00AF180F"/>
    <w:rsid w:val="00AF4FBC"/>
    <w:rsid w:val="00AF746F"/>
    <w:rsid w:val="00B100E3"/>
    <w:rsid w:val="00B23B75"/>
    <w:rsid w:val="00B33B96"/>
    <w:rsid w:val="00B367AC"/>
    <w:rsid w:val="00B44120"/>
    <w:rsid w:val="00B530B7"/>
    <w:rsid w:val="00B5365B"/>
    <w:rsid w:val="00B573EC"/>
    <w:rsid w:val="00B73F19"/>
    <w:rsid w:val="00B74FEA"/>
    <w:rsid w:val="00B96B00"/>
    <w:rsid w:val="00BA3C10"/>
    <w:rsid w:val="00BB0F5B"/>
    <w:rsid w:val="00BB49F7"/>
    <w:rsid w:val="00BC2713"/>
    <w:rsid w:val="00BC7831"/>
    <w:rsid w:val="00BC7B1F"/>
    <w:rsid w:val="00BE3EED"/>
    <w:rsid w:val="00BF06BC"/>
    <w:rsid w:val="00C02F99"/>
    <w:rsid w:val="00C07756"/>
    <w:rsid w:val="00C07A44"/>
    <w:rsid w:val="00C13C59"/>
    <w:rsid w:val="00C23CB2"/>
    <w:rsid w:val="00C31CF7"/>
    <w:rsid w:val="00C500BC"/>
    <w:rsid w:val="00C553DB"/>
    <w:rsid w:val="00C65236"/>
    <w:rsid w:val="00C67E12"/>
    <w:rsid w:val="00C75099"/>
    <w:rsid w:val="00C86BEC"/>
    <w:rsid w:val="00CA373C"/>
    <w:rsid w:val="00CB50F0"/>
    <w:rsid w:val="00CC2A0B"/>
    <w:rsid w:val="00CD1FA2"/>
    <w:rsid w:val="00CE6758"/>
    <w:rsid w:val="00D34A14"/>
    <w:rsid w:val="00D34B47"/>
    <w:rsid w:val="00D56E84"/>
    <w:rsid w:val="00D62642"/>
    <w:rsid w:val="00D70986"/>
    <w:rsid w:val="00D7234D"/>
    <w:rsid w:val="00D833D9"/>
    <w:rsid w:val="00DA744C"/>
    <w:rsid w:val="00DB4723"/>
    <w:rsid w:val="00DB6718"/>
    <w:rsid w:val="00DC554E"/>
    <w:rsid w:val="00DD26B2"/>
    <w:rsid w:val="00DE1D6D"/>
    <w:rsid w:val="00DE5993"/>
    <w:rsid w:val="00E03894"/>
    <w:rsid w:val="00E463FE"/>
    <w:rsid w:val="00E60530"/>
    <w:rsid w:val="00E63930"/>
    <w:rsid w:val="00E66DA7"/>
    <w:rsid w:val="00E70E56"/>
    <w:rsid w:val="00E71D39"/>
    <w:rsid w:val="00E86133"/>
    <w:rsid w:val="00E91C18"/>
    <w:rsid w:val="00E97C25"/>
    <w:rsid w:val="00EB2E65"/>
    <w:rsid w:val="00EC75D4"/>
    <w:rsid w:val="00ED3381"/>
    <w:rsid w:val="00ED719B"/>
    <w:rsid w:val="00EF27E0"/>
    <w:rsid w:val="00F024E8"/>
    <w:rsid w:val="00F05CA8"/>
    <w:rsid w:val="00F10A24"/>
    <w:rsid w:val="00F17432"/>
    <w:rsid w:val="00F252A3"/>
    <w:rsid w:val="00F268C8"/>
    <w:rsid w:val="00F27B39"/>
    <w:rsid w:val="00F32806"/>
    <w:rsid w:val="00F32866"/>
    <w:rsid w:val="00F51BD9"/>
    <w:rsid w:val="00F51C34"/>
    <w:rsid w:val="00F65D15"/>
    <w:rsid w:val="00F81046"/>
    <w:rsid w:val="00F81598"/>
    <w:rsid w:val="00F916E5"/>
    <w:rsid w:val="00F948F3"/>
    <w:rsid w:val="00FC51E2"/>
    <w:rsid w:val="00FC5383"/>
    <w:rsid w:val="00FD0652"/>
    <w:rsid w:val="00FD2A50"/>
    <w:rsid w:val="00FD741A"/>
    <w:rsid w:val="00FE0D7C"/>
    <w:rsid w:val="01F36FCC"/>
    <w:rsid w:val="0227136C"/>
    <w:rsid w:val="045A77D7"/>
    <w:rsid w:val="078B7CA7"/>
    <w:rsid w:val="08190FC5"/>
    <w:rsid w:val="08D12032"/>
    <w:rsid w:val="08EC0C19"/>
    <w:rsid w:val="091B525A"/>
    <w:rsid w:val="09420839"/>
    <w:rsid w:val="0B1F52D6"/>
    <w:rsid w:val="0E2A204D"/>
    <w:rsid w:val="10741C20"/>
    <w:rsid w:val="12AA7B7B"/>
    <w:rsid w:val="15FD4466"/>
    <w:rsid w:val="165A3666"/>
    <w:rsid w:val="18DF6862"/>
    <w:rsid w:val="1A847E25"/>
    <w:rsid w:val="1C646FED"/>
    <w:rsid w:val="1CC7757C"/>
    <w:rsid w:val="1D1A3B4F"/>
    <w:rsid w:val="1E5A5A62"/>
    <w:rsid w:val="1E600A3D"/>
    <w:rsid w:val="1E965458"/>
    <w:rsid w:val="20D96F19"/>
    <w:rsid w:val="24963008"/>
    <w:rsid w:val="2623053C"/>
    <w:rsid w:val="270F3FF9"/>
    <w:rsid w:val="27E606F5"/>
    <w:rsid w:val="290F75E7"/>
    <w:rsid w:val="2BC2163A"/>
    <w:rsid w:val="2DE65587"/>
    <w:rsid w:val="2DF14458"/>
    <w:rsid w:val="300D4E4E"/>
    <w:rsid w:val="30C61BCC"/>
    <w:rsid w:val="30E16A06"/>
    <w:rsid w:val="31A014D2"/>
    <w:rsid w:val="31F31444"/>
    <w:rsid w:val="32963A97"/>
    <w:rsid w:val="33770F5C"/>
    <w:rsid w:val="340A6274"/>
    <w:rsid w:val="34DD74E5"/>
    <w:rsid w:val="38710670"/>
    <w:rsid w:val="39ED01CA"/>
    <w:rsid w:val="3C776471"/>
    <w:rsid w:val="3DB334D8"/>
    <w:rsid w:val="3E495BEB"/>
    <w:rsid w:val="3EEC6CA2"/>
    <w:rsid w:val="410B2946"/>
    <w:rsid w:val="458A0FC3"/>
    <w:rsid w:val="45D109A0"/>
    <w:rsid w:val="47B24801"/>
    <w:rsid w:val="48877A3B"/>
    <w:rsid w:val="48CD485D"/>
    <w:rsid w:val="490E5A67"/>
    <w:rsid w:val="49151360"/>
    <w:rsid w:val="4C1C493F"/>
    <w:rsid w:val="4E121B55"/>
    <w:rsid w:val="4F7A1C1A"/>
    <w:rsid w:val="52951C08"/>
    <w:rsid w:val="529A65BD"/>
    <w:rsid w:val="52FB52AE"/>
    <w:rsid w:val="53E775E0"/>
    <w:rsid w:val="54994852"/>
    <w:rsid w:val="58DD11B1"/>
    <w:rsid w:val="5B3F7F01"/>
    <w:rsid w:val="5DB524FD"/>
    <w:rsid w:val="5F5024DD"/>
    <w:rsid w:val="61B03E57"/>
    <w:rsid w:val="621C0D9D"/>
    <w:rsid w:val="63021D41"/>
    <w:rsid w:val="66B772E6"/>
    <w:rsid w:val="69E77EE2"/>
    <w:rsid w:val="6A9516EC"/>
    <w:rsid w:val="6E201C15"/>
    <w:rsid w:val="70847FAA"/>
    <w:rsid w:val="70D50A94"/>
    <w:rsid w:val="72A23C4A"/>
    <w:rsid w:val="744E128A"/>
    <w:rsid w:val="7455768C"/>
    <w:rsid w:val="74D07EF1"/>
    <w:rsid w:val="76BD6E14"/>
    <w:rsid w:val="7883527A"/>
    <w:rsid w:val="78AF606F"/>
    <w:rsid w:val="78C244A2"/>
    <w:rsid w:val="7BD52290"/>
    <w:rsid w:val="7DC861E9"/>
    <w:rsid w:val="7E5620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9"/>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8">
    <w:name w:val="Normal Table"/>
    <w:semiHidden/>
    <w:unhideWhenUsed/>
    <w:uiPriority w:val="99"/>
    <w:tblPr>
      <w:tblLayout w:type="fixed"/>
      <w:tblCellMar>
        <w:top w:w="0" w:type="dxa"/>
        <w:left w:w="108" w:type="dxa"/>
        <w:bottom w:w="0" w:type="dxa"/>
        <w:right w:w="108" w:type="dxa"/>
      </w:tblCellMar>
    </w:tblPr>
  </w:style>
  <w:style w:type="paragraph" w:styleId="5">
    <w:name w:val="annotation subject"/>
    <w:basedOn w:val="6"/>
    <w:next w:val="6"/>
    <w:link w:val="47"/>
    <w:semiHidden/>
    <w:unhideWhenUsed/>
    <w:qFormat/>
    <w:uiPriority w:val="99"/>
    <w:rPr>
      <w:b/>
      <w:bCs/>
    </w:rPr>
  </w:style>
  <w:style w:type="paragraph" w:styleId="6">
    <w:name w:val="annotation text"/>
    <w:basedOn w:val="1"/>
    <w:link w:val="46"/>
    <w:unhideWhenUsed/>
    <w:uiPriority w:val="99"/>
    <w:pPr>
      <w:jc w:val="left"/>
    </w:pPr>
  </w:style>
  <w:style w:type="paragraph" w:styleId="7">
    <w:name w:val="Body Text 3"/>
    <w:basedOn w:val="1"/>
    <w:link w:val="20"/>
    <w:qFormat/>
    <w:uiPriority w:val="0"/>
    <w:pPr>
      <w:widowControl/>
    </w:pPr>
    <w:rPr>
      <w:rFonts w:ascii="Times New Roman" w:hAnsi="Times New Roman" w:eastAsia="仿宋_GB2312" w:cs="Times New Roman"/>
      <w:kern w:val="0"/>
      <w:sz w:val="28"/>
      <w:szCs w:val="20"/>
    </w:rPr>
  </w:style>
  <w:style w:type="paragraph" w:styleId="8">
    <w:name w:val="toc 3"/>
    <w:basedOn w:val="1"/>
    <w:next w:val="1"/>
    <w:unhideWhenUsed/>
    <w:uiPriority w:val="39"/>
    <w:pPr>
      <w:widowControl/>
      <w:spacing w:after="100" w:line="259" w:lineRule="auto"/>
      <w:ind w:left="440"/>
      <w:jc w:val="left"/>
    </w:pPr>
    <w:rPr>
      <w:rFonts w:cs="Times New Roman"/>
      <w:kern w:val="0"/>
      <w:sz w:val="22"/>
    </w:rPr>
  </w:style>
  <w:style w:type="paragraph" w:styleId="9">
    <w:name w:val="Balloon Text"/>
    <w:basedOn w:val="1"/>
    <w:link w:val="36"/>
    <w:semiHidden/>
    <w:unhideWhenUsed/>
    <w:qFormat/>
    <w:uiPriority w:val="99"/>
    <w:rPr>
      <w:sz w:val="18"/>
      <w:szCs w:val="18"/>
    </w:rPr>
  </w:style>
  <w:style w:type="paragraph" w:styleId="10">
    <w:name w:val="footer"/>
    <w:basedOn w:val="1"/>
    <w:link w:val="33"/>
    <w:unhideWhenUsed/>
    <w:qFormat/>
    <w:uiPriority w:val="99"/>
    <w:pPr>
      <w:tabs>
        <w:tab w:val="center" w:pos="4153"/>
        <w:tab w:val="right" w:pos="8306"/>
      </w:tabs>
      <w:snapToGrid w:val="0"/>
      <w:jc w:val="left"/>
    </w:pPr>
    <w:rPr>
      <w:sz w:val="18"/>
      <w:szCs w:val="18"/>
    </w:rPr>
  </w:style>
  <w:style w:type="paragraph" w:styleId="11">
    <w:name w:val="header"/>
    <w:basedOn w:val="1"/>
    <w:link w:val="32"/>
    <w:qFormat/>
    <w:uiPriority w:val="99"/>
    <w:pPr>
      <w:tabs>
        <w:tab w:val="center" w:pos="4153"/>
        <w:tab w:val="right" w:pos="8306"/>
      </w:tabs>
      <w:snapToGrid w:val="0"/>
      <w:jc w:val="center"/>
    </w:pPr>
    <w:rPr>
      <w:rFonts w:ascii="Times New Roman" w:hAnsi="Times New Roman" w:eastAsia="宋体" w:cs="Times New Roman"/>
      <w:sz w:val="18"/>
      <w:szCs w:val="18"/>
    </w:rPr>
  </w:style>
  <w:style w:type="paragraph" w:styleId="12">
    <w:name w:val="toc 1"/>
    <w:next w:val="1"/>
    <w:qFormat/>
    <w:uiPriority w:val="39"/>
    <w:pPr>
      <w:widowControl w:val="0"/>
      <w:spacing w:before="240" w:after="120" w:line="278" w:lineRule="auto"/>
    </w:pPr>
    <w:rPr>
      <w:rFonts w:ascii="等线" w:hAnsi="Times New Roman" w:eastAsia="等线" w:cs="Times New Roman"/>
      <w:b/>
      <w:bCs/>
      <w:kern w:val="2"/>
      <w:lang w:val="en-US" w:eastAsia="zh-CN" w:bidi="ar-SA"/>
    </w:rPr>
  </w:style>
  <w:style w:type="paragraph" w:styleId="13">
    <w:name w:val="toc 2"/>
    <w:basedOn w:val="1"/>
    <w:next w:val="1"/>
    <w:unhideWhenUsed/>
    <w:uiPriority w:val="39"/>
    <w:pPr>
      <w:ind w:left="420" w:leftChars="200"/>
    </w:p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styleId="17">
    <w:name w:val="annotation reference"/>
    <w:basedOn w:val="15"/>
    <w:semiHidden/>
    <w:unhideWhenUsed/>
    <w:uiPriority w:val="99"/>
    <w:rPr>
      <w:sz w:val="21"/>
      <w:szCs w:val="21"/>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0">
    <w:name w:val="正文文本 3 字符"/>
    <w:basedOn w:val="15"/>
    <w:link w:val="7"/>
    <w:qFormat/>
    <w:uiPriority w:val="0"/>
    <w:rPr>
      <w:rFonts w:ascii="Times New Roman" w:hAnsi="Times New Roman" w:eastAsia="仿宋_GB2312" w:cs="Times New Roman"/>
      <w:kern w:val="0"/>
      <w:sz w:val="28"/>
      <w:szCs w:val="20"/>
    </w:rPr>
  </w:style>
  <w:style w:type="character" w:customStyle="1" w:styleId="21">
    <w:name w:val="章标题 Char"/>
    <w:link w:val="22"/>
    <w:qFormat/>
    <w:uiPriority w:val="0"/>
    <w:rPr>
      <w:rFonts w:ascii="黑体" w:hAnsi="Times New Roman" w:eastAsia="黑体"/>
      <w:kern w:val="2"/>
      <w:sz w:val="21"/>
      <w:szCs w:val="21"/>
    </w:rPr>
  </w:style>
  <w:style w:type="paragraph" w:customStyle="1" w:styleId="22">
    <w:name w:val="章标题"/>
    <w:next w:val="23"/>
    <w:link w:val="21"/>
    <w:qFormat/>
    <w:uiPriority w:val="0"/>
    <w:pPr>
      <w:spacing w:before="240" w:beforeLines="100" w:after="240" w:afterLines="100" w:line="278" w:lineRule="auto"/>
      <w:jc w:val="both"/>
      <w:outlineLvl w:val="1"/>
    </w:pPr>
    <w:rPr>
      <w:rFonts w:ascii="黑体" w:hAnsi="Times New Roman" w:eastAsia="黑体" w:cstheme="minorBidi"/>
      <w:kern w:val="2"/>
      <w:sz w:val="21"/>
      <w:szCs w:val="21"/>
      <w:lang w:val="en-US" w:eastAsia="zh-CN" w:bidi="ar-SA"/>
    </w:rPr>
  </w:style>
  <w:style w:type="paragraph" w:customStyle="1" w:styleId="23">
    <w:name w:val="段"/>
    <w:link w:val="41"/>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character" w:customStyle="1" w:styleId="24">
    <w:name w:val="一级条标题 Char"/>
    <w:link w:val="25"/>
    <w:qFormat/>
    <w:uiPriority w:val="0"/>
    <w:rPr>
      <w:rFonts w:ascii="黑体" w:hAnsi="黑体" w:eastAsia="黑体"/>
      <w:kern w:val="2"/>
      <w:sz w:val="21"/>
      <w:szCs w:val="22"/>
    </w:rPr>
  </w:style>
  <w:style w:type="paragraph" w:customStyle="1" w:styleId="25">
    <w:name w:val="一级条标题"/>
    <w:next w:val="23"/>
    <w:link w:val="24"/>
    <w:qFormat/>
    <w:uiPriority w:val="0"/>
    <w:pPr>
      <w:numPr>
        <w:ilvl w:val="2"/>
        <w:numId w:val="1"/>
      </w:numPr>
      <w:spacing w:after="160" w:line="278" w:lineRule="auto"/>
      <w:outlineLvl w:val="2"/>
    </w:pPr>
    <w:rPr>
      <w:rFonts w:ascii="黑体" w:hAnsi="黑体" w:eastAsia="黑体" w:cstheme="minorBidi"/>
      <w:kern w:val="2"/>
      <w:sz w:val="21"/>
      <w:szCs w:val="22"/>
      <w:lang w:val="en-US" w:eastAsia="zh-CN" w:bidi="ar-SA"/>
    </w:rPr>
  </w:style>
  <w:style w:type="character" w:customStyle="1" w:styleId="26">
    <w:name w:val="页眉 Char"/>
    <w:basedOn w:val="15"/>
    <w:semiHidden/>
    <w:qFormat/>
    <w:uiPriority w:val="99"/>
    <w:rPr>
      <w:sz w:val="18"/>
      <w:szCs w:val="18"/>
    </w:rPr>
  </w:style>
  <w:style w:type="paragraph" w:customStyle="1" w:styleId="27">
    <w:name w:val="目次、标准名称标题"/>
    <w:basedOn w:val="1"/>
    <w:next w:val="1"/>
    <w:qFormat/>
    <w:uiPriority w:val="0"/>
    <w:pPr>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28">
    <w:name w:val="二级条标题"/>
    <w:basedOn w:val="25"/>
    <w:next w:val="23"/>
    <w:qFormat/>
    <w:uiPriority w:val="0"/>
    <w:pPr>
      <w:numPr>
        <w:ilvl w:val="3"/>
      </w:numPr>
      <w:tabs>
        <w:tab w:val="left" w:pos="435"/>
      </w:tabs>
      <w:ind w:left="435" w:hanging="435"/>
      <w:outlineLvl w:val="3"/>
    </w:pPr>
  </w:style>
  <w:style w:type="paragraph" w:customStyle="1" w:styleId="29">
    <w:name w:val="注：（正文）"/>
    <w:basedOn w:val="1"/>
    <w:next w:val="23"/>
    <w:qFormat/>
    <w:uiPriority w:val="0"/>
    <w:pPr>
      <w:numPr>
        <w:ilvl w:val="0"/>
        <w:numId w:val="2"/>
      </w:numPr>
      <w:tabs>
        <w:tab w:val="left" w:pos="1080"/>
      </w:tabs>
      <w:autoSpaceDE w:val="0"/>
      <w:autoSpaceDN w:val="0"/>
      <w:ind w:left="726" w:hanging="363"/>
    </w:pPr>
    <w:rPr>
      <w:rFonts w:ascii="宋体" w:hAnsi="Times New Roman" w:eastAsia="宋体" w:cs="Times New Roman"/>
      <w:kern w:val="0"/>
      <w:sz w:val="18"/>
      <w:szCs w:val="18"/>
    </w:rPr>
  </w:style>
  <w:style w:type="paragraph" w:customStyle="1" w:styleId="30">
    <w:name w:val="前言、引言标题"/>
    <w:next w:val="1"/>
    <w:qFormat/>
    <w:uiPriority w:val="0"/>
    <w:pPr>
      <w:numPr>
        <w:ilvl w:val="0"/>
        <w:numId w:val="3"/>
      </w:numPr>
      <w:shd w:val="clear" w:color="FFFFFF" w:fill="FFFFFF"/>
      <w:spacing w:before="640" w:after="560" w:line="278" w:lineRule="auto"/>
      <w:jc w:val="center"/>
      <w:outlineLvl w:val="0"/>
    </w:pPr>
    <w:rPr>
      <w:rFonts w:ascii="黑体" w:hAnsi="Times New Roman" w:eastAsia="黑体" w:cs="Times New Roman"/>
      <w:sz w:val="32"/>
      <w:lang w:val="en-US" w:eastAsia="zh-CN" w:bidi="ar-SA"/>
    </w:rPr>
  </w:style>
  <w:style w:type="paragraph" w:customStyle="1" w:styleId="31">
    <w:name w:val="标准书脚_奇数页"/>
    <w:qFormat/>
    <w:uiPriority w:val="0"/>
    <w:pPr>
      <w:spacing w:before="120" w:after="160" w:line="278" w:lineRule="auto"/>
      <w:jc w:val="right"/>
    </w:pPr>
    <w:rPr>
      <w:rFonts w:ascii="Times New Roman" w:hAnsi="Times New Roman" w:eastAsia="宋体" w:cs="Times New Roman"/>
      <w:sz w:val="18"/>
      <w:lang w:val="en-US" w:eastAsia="zh-CN" w:bidi="ar-SA"/>
    </w:rPr>
  </w:style>
  <w:style w:type="character" w:customStyle="1" w:styleId="32">
    <w:name w:val="页眉 字符"/>
    <w:link w:val="11"/>
    <w:qFormat/>
    <w:uiPriority w:val="99"/>
    <w:rPr>
      <w:rFonts w:ascii="Times New Roman" w:hAnsi="Times New Roman" w:eastAsia="宋体" w:cs="Times New Roman"/>
      <w:sz w:val="18"/>
      <w:szCs w:val="18"/>
    </w:rPr>
  </w:style>
  <w:style w:type="character" w:customStyle="1" w:styleId="33">
    <w:name w:val="页脚 字符"/>
    <w:basedOn w:val="15"/>
    <w:link w:val="10"/>
    <w:qFormat/>
    <w:uiPriority w:val="99"/>
    <w:rPr>
      <w:sz w:val="18"/>
      <w:szCs w:val="18"/>
    </w:rPr>
  </w:style>
  <w:style w:type="paragraph" w:styleId="34">
    <w:name w:val="List Paragraph"/>
    <w:basedOn w:val="1"/>
    <w:unhideWhenUsed/>
    <w:qFormat/>
    <w:uiPriority w:val="99"/>
    <w:pPr>
      <w:ind w:firstLine="420" w:firstLineChars="200"/>
    </w:pPr>
    <w:rPr>
      <w:szCs w:val="24"/>
    </w:rPr>
  </w:style>
  <w:style w:type="character" w:customStyle="1" w:styleId="35">
    <w:name w:val="未处理的提及1"/>
    <w:basedOn w:val="15"/>
    <w:semiHidden/>
    <w:unhideWhenUsed/>
    <w:uiPriority w:val="99"/>
    <w:rPr>
      <w:color w:val="605E5C"/>
      <w:shd w:val="clear" w:color="auto" w:fill="E1DFDD"/>
    </w:rPr>
  </w:style>
  <w:style w:type="character" w:customStyle="1" w:styleId="36">
    <w:name w:val="批注框文本 字符"/>
    <w:basedOn w:val="15"/>
    <w:link w:val="9"/>
    <w:semiHidden/>
    <w:qFormat/>
    <w:uiPriority w:val="99"/>
    <w:rPr>
      <w:sz w:val="18"/>
      <w:szCs w:val="18"/>
    </w:rPr>
  </w:style>
  <w:style w:type="paragraph" w:customStyle="1" w:styleId="37">
    <w:name w:val="正文 + 宋体"/>
    <w:basedOn w:val="1"/>
    <w:qFormat/>
    <w:uiPriority w:val="0"/>
    <w:pPr>
      <w:spacing w:line="360" w:lineRule="auto"/>
      <w:ind w:firstLine="480" w:firstLineChars="200"/>
    </w:pPr>
    <w:rPr>
      <w:rFonts w:ascii="宋体" w:hAnsi="宋体" w:eastAsia="宋体" w:cs="Times New Roman"/>
      <w:sz w:val="24"/>
      <w:szCs w:val="24"/>
    </w:rPr>
  </w:style>
  <w:style w:type="character" w:customStyle="1" w:styleId="38">
    <w:name w:val="fontstyle01"/>
    <w:basedOn w:val="15"/>
    <w:qFormat/>
    <w:uiPriority w:val="0"/>
    <w:rPr>
      <w:rFonts w:hint="eastAsia" w:ascii="仿宋" w:hAnsi="仿宋" w:eastAsia="仿宋"/>
      <w:color w:val="000000"/>
      <w:sz w:val="30"/>
      <w:szCs w:val="30"/>
    </w:rPr>
  </w:style>
  <w:style w:type="paragraph" w:customStyle="1" w:styleId="39">
    <w:name w:val="Default"/>
    <w:qFormat/>
    <w:uiPriority w:val="0"/>
    <w:pPr>
      <w:widowControl w:val="0"/>
      <w:autoSpaceDE w:val="0"/>
      <w:autoSpaceDN w:val="0"/>
      <w:adjustRightInd w:val="0"/>
      <w:spacing w:after="160" w:line="278" w:lineRule="auto"/>
    </w:pPr>
    <w:rPr>
      <w:rFonts w:ascii="FZXiaoBiaoSong-B05S" w:hAnsi="Calibri" w:eastAsia="FZXiaoBiaoSong-B05S" w:cs="FZXiaoBiaoSong-B05S"/>
      <w:color w:val="000000"/>
      <w:sz w:val="24"/>
      <w:szCs w:val="24"/>
      <w:lang w:val="en-US" w:eastAsia="zh-CN" w:bidi="ar-SA"/>
    </w:rPr>
  </w:style>
  <w:style w:type="character" w:customStyle="1" w:styleId="40">
    <w:name w:val="未处理的提及2"/>
    <w:basedOn w:val="15"/>
    <w:semiHidden/>
    <w:unhideWhenUsed/>
    <w:uiPriority w:val="99"/>
    <w:rPr>
      <w:color w:val="605E5C"/>
      <w:shd w:val="clear" w:color="auto" w:fill="E1DFDD"/>
    </w:rPr>
  </w:style>
  <w:style w:type="character" w:customStyle="1" w:styleId="41">
    <w:name w:val="段 Char"/>
    <w:basedOn w:val="15"/>
    <w:link w:val="23"/>
    <w:qFormat/>
    <w:uiPriority w:val="0"/>
    <w:rPr>
      <w:rFonts w:ascii="宋体" w:hAnsi="Times New Roman" w:eastAsia="宋体" w:cs="Times New Roman"/>
      <w:kern w:val="0"/>
      <w:szCs w:val="20"/>
    </w:rPr>
  </w:style>
  <w:style w:type="paragraph" w:customStyle="1" w:styleId="42">
    <w:name w:val="标准文件_前言、引言标题"/>
    <w:next w:val="1"/>
    <w:qFormat/>
    <w:uiPriority w:val="0"/>
    <w:pPr>
      <w:numPr>
        <w:ilvl w:val="0"/>
        <w:numId w:val="4"/>
      </w:numPr>
      <w:shd w:val="clear" w:color="FFFFFF" w:fill="FFFFFF"/>
      <w:spacing w:before="480" w:after="150" w:afterLines="150" w:line="278" w:lineRule="auto"/>
      <w:jc w:val="center"/>
      <w:outlineLvl w:val="0"/>
    </w:pPr>
    <w:rPr>
      <w:rFonts w:ascii="黑体" w:hAnsi="Times New Roman" w:eastAsia="黑体" w:cs="Times New Roman"/>
      <w:sz w:val="32"/>
      <w:lang w:val="en-US" w:eastAsia="zh-CN" w:bidi="ar-SA"/>
    </w:rPr>
  </w:style>
  <w:style w:type="character" w:customStyle="1" w:styleId="43">
    <w:name w:val="标题 1 字符"/>
    <w:basedOn w:val="15"/>
    <w:link w:val="2"/>
    <w:qFormat/>
    <w:uiPriority w:val="9"/>
    <w:rPr>
      <w:b/>
      <w:bCs/>
      <w:kern w:val="44"/>
      <w:sz w:val="44"/>
      <w:szCs w:val="44"/>
    </w:rPr>
  </w:style>
  <w:style w:type="paragraph" w:customStyle="1" w:styleId="4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5">
    <w:name w:val="Revision"/>
    <w:hidden/>
    <w:unhideWhenUsed/>
    <w:uiPriority w:val="99"/>
    <w:pPr>
      <w:spacing w:after="0" w:line="240" w:lineRule="auto"/>
    </w:pPr>
    <w:rPr>
      <w:rFonts w:asciiTheme="minorHAnsi" w:hAnsiTheme="minorHAnsi" w:eastAsiaTheme="minorEastAsia" w:cstheme="minorBidi"/>
      <w:kern w:val="2"/>
      <w:sz w:val="21"/>
      <w:szCs w:val="22"/>
      <w:lang w:val="en-US" w:eastAsia="zh-CN" w:bidi="ar-SA"/>
    </w:rPr>
  </w:style>
  <w:style w:type="character" w:customStyle="1" w:styleId="46">
    <w:name w:val="批注文字 字符"/>
    <w:basedOn w:val="15"/>
    <w:link w:val="6"/>
    <w:uiPriority w:val="99"/>
    <w:rPr>
      <w:kern w:val="2"/>
      <w:sz w:val="21"/>
      <w:szCs w:val="22"/>
    </w:rPr>
  </w:style>
  <w:style w:type="character" w:customStyle="1" w:styleId="47">
    <w:name w:val="批注主题 字符"/>
    <w:basedOn w:val="46"/>
    <w:link w:val="5"/>
    <w:semiHidden/>
    <w:qFormat/>
    <w:uiPriority w:val="99"/>
    <w:rPr>
      <w:b/>
      <w:bCs/>
      <w:kern w:val="2"/>
      <w:sz w:val="21"/>
      <w:szCs w:val="22"/>
    </w:rPr>
  </w:style>
  <w:style w:type="character" w:customStyle="1" w:styleId="48">
    <w:name w:val="标题 2 字符"/>
    <w:basedOn w:val="15"/>
    <w:link w:val="3"/>
    <w:semiHidden/>
    <w:uiPriority w:val="9"/>
    <w:rPr>
      <w:rFonts w:asciiTheme="majorHAnsi" w:hAnsiTheme="majorHAnsi" w:eastAsiaTheme="majorEastAsia" w:cstheme="majorBidi"/>
      <w:b/>
      <w:bCs/>
      <w:kern w:val="2"/>
      <w:sz w:val="32"/>
      <w:szCs w:val="32"/>
    </w:rPr>
  </w:style>
  <w:style w:type="character" w:customStyle="1" w:styleId="49">
    <w:name w:val="标题 3 字符"/>
    <w:basedOn w:val="15"/>
    <w:link w:val="4"/>
    <w:semiHidden/>
    <w:qFormat/>
    <w:uiPriority w:val="9"/>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FAB1CF-8406-4B75-8155-667B317313DD}">
  <ds:schemaRefs/>
</ds:datastoreItem>
</file>

<file path=docProps/app.xml><?xml version="1.0" encoding="utf-8"?>
<Properties xmlns="http://schemas.openxmlformats.org/officeDocument/2006/extended-properties" xmlns:vt="http://schemas.openxmlformats.org/officeDocument/2006/docPropsVTypes">
  <Template>Normal</Template>
  <Pages>11</Pages>
  <Words>5060</Words>
  <Characters>5568</Characters>
  <Lines>192</Lines>
  <Paragraphs>141</Paragraphs>
  <TotalTime>1</TotalTime>
  <ScaleCrop>false</ScaleCrop>
  <LinksUpToDate>false</LinksUpToDate>
  <CharactersWithSpaces>10487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2026-04-27T06:53:00Z</dcterms:created>
  <dc:creator>fengxue</dc:creator>
  <cp:lastModifiedBy>明</cp:lastModifiedBy>
  <cp:lastPrinted>2026-04-16T13:05:00Z</cp:lastPrinted>
  <dcterms:modified xsi:type="dcterms:W3CDTF">2026-09-09T01:14:52Z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C809AFD954D6433AB7EAF4AA84AFA7F8_13</vt:lpwstr>
  </property>
</Properties>
</file>